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1、中标通知书查看-网上支付-线下缴纳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2458085"/>
            <wp:effectExtent l="0" t="0" r="698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248285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2482850"/>
            <wp:effectExtent l="0" t="0" r="1397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2、确认-“收款户名/账号，缴纳户名/账号”信息；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lang w:val="en-US" w:eastAsia="zh-CN"/>
        </w:rPr>
        <w:t>需确保收款户名/账号，缴纳户名/账号与实际支付信息完全匹配，否则无法查询到账信息，无法下载中标通过书；</w:t>
      </w:r>
    </w:p>
    <w:p>
      <w:r>
        <w:drawing>
          <wp:inline distT="0" distB="0" distL="114300" distR="114300">
            <wp:extent cx="5271135" cy="249936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线下缴费完成后（3-5分钟），</w:t>
      </w:r>
      <w:r>
        <w:rPr>
          <w:rFonts w:hint="eastAsia"/>
          <w:b/>
          <w:bCs/>
          <w:color w:val="FF0000"/>
          <w:lang w:val="en-US" w:eastAsia="zh-CN"/>
        </w:rPr>
        <w:t>用户需手动点击“到账查询”，</w:t>
      </w:r>
      <w:r>
        <w:rPr>
          <w:rFonts w:hint="eastAsia"/>
          <w:b w:val="0"/>
          <w:bCs w:val="0"/>
          <w:color w:val="auto"/>
          <w:lang w:val="en-US" w:eastAsia="zh-CN"/>
        </w:rPr>
        <w:t>查询成功后，服务费支付信息列表显示对应缴费记录则表示缴费成功，可下载中标通知书；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458085"/>
            <wp:effectExtent l="0" t="0" r="444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1B162"/>
    <w:multiLevelType w:val="singleLevel"/>
    <w:tmpl w:val="A421B16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DM5NTdkNzBjYzU5NTI4NThlZmE5MjZiM2Y0MzcifQ=="/>
  </w:docVars>
  <w:rsids>
    <w:rsidRoot w:val="00000000"/>
    <w:rsid w:val="60C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2023-05-09T07:34:51Z</dcterms:created>
  <dc:creator>Summer</dc:creator>
  <cp:lastModifiedBy>Summer</cp:lastModifiedBy>
  <dcterms:modified xsi:type="dcterms:W3CDTF">2023-05-09T07:48:41Z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145639B5AEEA4C09B0FE8921391C65B6_12</vt:lpwstr>
  </property>
</Properties>
</file>