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color w:val="auto"/>
          <w:sz w:val="44"/>
          <w:szCs w:val="44"/>
          <w:highlight w:val="none"/>
        </w:rPr>
      </w:pPr>
      <w:r>
        <w:rPr>
          <w:rFonts w:hint="eastAsia"/>
          <w:b/>
          <w:color w:val="auto"/>
          <w:sz w:val="44"/>
          <w:szCs w:val="44"/>
          <w:highlight w:val="none"/>
          <w:lang w:eastAsia="zh-CN"/>
        </w:rPr>
        <w:t>凌钢红土镍矿（现货）</w:t>
      </w:r>
      <w:r>
        <w:rPr>
          <w:rFonts w:hint="eastAsia"/>
          <w:b/>
          <w:color w:val="auto"/>
          <w:sz w:val="44"/>
          <w:szCs w:val="44"/>
          <w:highlight w:val="none"/>
        </w:rPr>
        <w:t>采购方案</w:t>
      </w:r>
    </w:p>
    <w:p>
      <w:pPr>
        <w:shd w:val="clear"/>
        <w:spacing w:line="540" w:lineRule="exact"/>
        <w:ind w:firstLine="643" w:firstLineChars="20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一、编制采购方案依据</w:t>
      </w:r>
    </w:p>
    <w:p>
      <w:pPr>
        <w:shd w:val="clear"/>
        <w:spacing w:line="56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zh-CN"/>
        </w:rPr>
        <w:t>1.</w:t>
      </w:r>
      <w:r>
        <w:rPr>
          <w:rFonts w:hint="eastAsia" w:ascii="仿宋_GB2312" w:hAnsi="仿宋_GB2312" w:eastAsia="仿宋_GB2312" w:cs="仿宋_GB2312"/>
          <w:color w:val="auto"/>
          <w:sz w:val="32"/>
          <w:szCs w:val="32"/>
          <w:highlight w:val="none"/>
        </w:rPr>
        <w:t>采购项目名称</w:t>
      </w:r>
      <w:r>
        <w:rPr>
          <w:rFonts w:hint="eastAsia" w:ascii="仿宋_GB2312" w:hAnsi="仿宋_GB2312" w:eastAsia="仿宋_GB2312" w:cs="仿宋_GB2312"/>
          <w:color w:val="auto"/>
          <w:sz w:val="32"/>
          <w:szCs w:val="32"/>
          <w:highlight w:val="none"/>
          <w:lang w:eastAsia="zh-CN"/>
        </w:rPr>
        <w:t>：凌钢</w:t>
      </w:r>
      <w:r>
        <w:rPr>
          <w:rFonts w:hint="eastAsia" w:ascii="仿宋_GB2312" w:hAnsi="仿宋_GB2312" w:eastAsia="仿宋_GB2312" w:cs="仿宋_GB2312"/>
          <w:color w:val="auto"/>
          <w:sz w:val="32"/>
          <w:szCs w:val="32"/>
          <w:highlight w:val="none"/>
          <w:lang w:val="en-US" w:eastAsia="zh-CN"/>
        </w:rPr>
        <w:t>红土镍矿</w:t>
      </w:r>
      <w:r>
        <w:rPr>
          <w:rFonts w:hint="eastAsia" w:ascii="仿宋_GB2312" w:hAnsi="仿宋_GB2312" w:eastAsia="仿宋_GB2312" w:cs="仿宋_GB2312"/>
          <w:color w:val="auto"/>
          <w:sz w:val="32"/>
          <w:szCs w:val="32"/>
          <w:highlight w:val="none"/>
          <w:lang w:eastAsia="zh-CN"/>
        </w:rPr>
        <w:t>（现货）</w:t>
      </w:r>
      <w:r>
        <w:rPr>
          <w:rFonts w:hint="eastAsia" w:ascii="仿宋_GB2312" w:hAnsi="仿宋_GB2312" w:eastAsia="仿宋_GB2312" w:cs="仿宋_GB2312"/>
          <w:color w:val="auto"/>
          <w:sz w:val="32"/>
          <w:szCs w:val="32"/>
          <w:highlight w:val="none"/>
        </w:rPr>
        <w:t>。</w:t>
      </w:r>
    </w:p>
    <w:p>
      <w:pPr>
        <w:shd w:val="clear"/>
        <w:spacing w:line="56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2.项目说明</w:t>
      </w:r>
      <w:r>
        <w:rPr>
          <w:rFonts w:hint="eastAsia" w:ascii="仿宋_GB2312" w:hAnsi="仿宋_GB2312" w:eastAsia="仿宋_GB2312" w:cs="仿宋_GB2312"/>
          <w:color w:val="auto"/>
          <w:sz w:val="32"/>
          <w:szCs w:val="32"/>
          <w:highlight w:val="none"/>
          <w:lang w:eastAsia="zh-CN"/>
        </w:rPr>
        <w:t>：采购</w:t>
      </w:r>
      <w:r>
        <w:rPr>
          <w:rFonts w:hint="eastAsia" w:ascii="仿宋_GB2312" w:hAnsi="仿宋_GB2312" w:eastAsia="仿宋_GB2312" w:cs="仿宋_GB2312"/>
          <w:color w:val="auto"/>
          <w:sz w:val="32"/>
          <w:szCs w:val="32"/>
          <w:highlight w:val="none"/>
          <w:lang w:val="en-US" w:eastAsia="zh-CN"/>
        </w:rPr>
        <w:t>红土镍矿</w:t>
      </w:r>
      <w:r>
        <w:rPr>
          <w:rFonts w:hint="eastAsia" w:ascii="仿宋_GB2312" w:hAnsi="仿宋_GB2312" w:eastAsia="仿宋_GB2312" w:cs="仿宋_GB2312"/>
          <w:color w:val="auto"/>
          <w:sz w:val="32"/>
          <w:szCs w:val="32"/>
          <w:highlight w:val="none"/>
          <w:lang w:eastAsia="zh-CN"/>
        </w:rPr>
        <w:t>（现货）补充库存</w:t>
      </w:r>
      <w:r>
        <w:rPr>
          <w:rFonts w:hint="eastAsia" w:ascii="仿宋_GB2312" w:hAnsi="仿宋_GB2312" w:eastAsia="仿宋_GB2312" w:cs="仿宋_GB2312"/>
          <w:color w:val="auto"/>
          <w:sz w:val="32"/>
          <w:szCs w:val="32"/>
          <w:highlight w:val="none"/>
        </w:rPr>
        <w:t>。</w:t>
      </w:r>
    </w:p>
    <w:p>
      <w:pPr>
        <w:shd w:val="clear"/>
        <w:spacing w:line="540" w:lineRule="exact"/>
        <w:ind w:firstLine="643" w:firstLineChars="20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二、采购方式</w:t>
      </w:r>
    </w:p>
    <w:p>
      <w:pPr>
        <w:shd w:val="clear"/>
        <w:spacing w:line="560" w:lineRule="exact"/>
        <w:ind w:firstLine="640" w:firstLineChars="200"/>
        <w:rPr>
          <w:rFonts w:hint="eastAsia" w:ascii="仿宋_GB2312" w:hAnsi="仿宋_GB2312" w:eastAsia="仿宋_GB2312" w:cs="仿宋_GB2312"/>
          <w:color w:val="auto"/>
          <w:sz w:val="32"/>
          <w:szCs w:val="32"/>
          <w:highlight w:val="none"/>
          <w:lang w:val="zh-CN"/>
        </w:rPr>
      </w:pPr>
      <w:r>
        <w:rPr>
          <w:rFonts w:hint="eastAsia" w:ascii="仿宋_GB2312" w:hAnsi="仿宋_GB2312" w:eastAsia="仿宋_GB2312" w:cs="仿宋_GB2312"/>
          <w:color w:val="auto"/>
          <w:sz w:val="32"/>
          <w:szCs w:val="32"/>
          <w:highlight w:val="none"/>
          <w:lang w:val="zh-CN"/>
        </w:rPr>
        <w:t>公开单轮</w:t>
      </w:r>
      <w:r>
        <w:rPr>
          <w:rFonts w:hint="eastAsia" w:ascii="仿宋_GB2312" w:hAnsi="仿宋_GB2312" w:eastAsia="仿宋_GB2312" w:cs="仿宋_GB2312"/>
          <w:color w:val="auto"/>
          <w:sz w:val="32"/>
          <w:szCs w:val="32"/>
          <w:highlight w:val="none"/>
          <w:lang w:val="en-US" w:eastAsia="zh-CN"/>
        </w:rPr>
        <w:t>谈判</w:t>
      </w:r>
      <w:r>
        <w:rPr>
          <w:rFonts w:hint="eastAsia" w:ascii="仿宋_GB2312" w:hAnsi="仿宋_GB2312" w:eastAsia="仿宋_GB2312" w:cs="仿宋_GB2312"/>
          <w:color w:val="auto"/>
          <w:sz w:val="32"/>
          <w:szCs w:val="32"/>
          <w:highlight w:val="none"/>
          <w:lang w:val="zh-CN"/>
        </w:rPr>
        <w:t>采购。</w:t>
      </w:r>
    </w:p>
    <w:p>
      <w:pPr>
        <w:shd w:val="clear"/>
        <w:spacing w:line="540" w:lineRule="exact"/>
        <w:ind w:firstLine="643" w:firstLineChars="20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三、招标</w:t>
      </w:r>
      <w:r>
        <w:rPr>
          <w:rFonts w:hint="eastAsia" w:ascii="仿宋_GB2312" w:hAnsi="仿宋_GB2312" w:eastAsia="仿宋_GB2312" w:cs="仿宋_GB2312"/>
          <w:b/>
          <w:color w:val="auto"/>
          <w:sz w:val="32"/>
          <w:szCs w:val="32"/>
          <w:highlight w:val="none"/>
          <w:lang w:val="en-US" w:eastAsia="zh-CN"/>
        </w:rPr>
        <w:t>询比</w:t>
      </w:r>
      <w:r>
        <w:rPr>
          <w:rFonts w:hint="eastAsia" w:ascii="仿宋_GB2312" w:hAnsi="仿宋_GB2312" w:eastAsia="仿宋_GB2312" w:cs="仿宋_GB2312"/>
          <w:b/>
          <w:color w:val="auto"/>
          <w:sz w:val="32"/>
          <w:szCs w:val="32"/>
          <w:highlight w:val="none"/>
        </w:rPr>
        <w:t>竞价</w:t>
      </w:r>
      <w:r>
        <w:rPr>
          <w:rFonts w:hint="eastAsia" w:ascii="仿宋_GB2312" w:hAnsi="仿宋_GB2312" w:eastAsia="仿宋_GB2312" w:cs="仿宋_GB2312"/>
          <w:b/>
          <w:color w:val="auto"/>
          <w:sz w:val="32"/>
          <w:szCs w:val="32"/>
          <w:highlight w:val="none"/>
          <w:lang w:val="en-US" w:eastAsia="zh-CN"/>
        </w:rPr>
        <w:t>谈判</w:t>
      </w:r>
      <w:r>
        <w:rPr>
          <w:rFonts w:hint="eastAsia" w:ascii="仿宋_GB2312" w:hAnsi="仿宋_GB2312" w:eastAsia="仿宋_GB2312" w:cs="仿宋_GB2312"/>
          <w:b/>
          <w:color w:val="auto"/>
          <w:sz w:val="32"/>
          <w:szCs w:val="32"/>
          <w:highlight w:val="none"/>
        </w:rPr>
        <w:t>要求</w:t>
      </w:r>
    </w:p>
    <w:p>
      <w:pPr>
        <w:shd w:val="clear"/>
        <w:spacing w:line="560" w:lineRule="exact"/>
        <w:ind w:firstLine="640" w:firstLineChars="200"/>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color w:val="auto"/>
          <w:sz w:val="32"/>
          <w:szCs w:val="32"/>
          <w:highlight w:val="none"/>
          <w:lang w:val="zh-CN"/>
        </w:rPr>
        <w:t>1.</w:t>
      </w:r>
      <w:r>
        <w:rPr>
          <w:rFonts w:hint="eastAsia" w:ascii="仿宋_GB2312" w:hAnsi="仿宋_GB2312" w:eastAsia="仿宋_GB2312" w:cs="仿宋_GB2312"/>
          <w:b w:val="0"/>
          <w:bCs w:val="0"/>
          <w:color w:val="auto"/>
          <w:sz w:val="32"/>
          <w:szCs w:val="32"/>
          <w:highlight w:val="none"/>
          <w:lang w:val="zh-CN" w:eastAsia="zh-CN"/>
        </w:rPr>
        <w:t>资质审查要求：资格后审。</w:t>
      </w:r>
    </w:p>
    <w:p>
      <w:pPr>
        <w:shd w:val="clear"/>
        <w:spacing w:line="560" w:lineRule="exact"/>
        <w:ind w:firstLine="640" w:firstLineChars="200"/>
        <w:rPr>
          <w:rFonts w:hint="eastAsia" w:ascii="仿宋_GB2312" w:hAnsi="仿宋_GB2312" w:eastAsia="仿宋_GB2312" w:cs="仿宋_GB2312"/>
          <w:color w:val="auto"/>
          <w:sz w:val="32"/>
          <w:szCs w:val="32"/>
          <w:highlight w:val="none"/>
          <w:lang w:val="zh-CN"/>
        </w:rPr>
      </w:pPr>
      <w:r>
        <w:rPr>
          <w:rFonts w:hint="eastAsia" w:ascii="仿宋_GB2312" w:hAnsi="仿宋_GB2312" w:eastAsia="仿宋_GB2312" w:cs="仿宋_GB2312"/>
          <w:color w:val="auto"/>
          <w:sz w:val="32"/>
          <w:szCs w:val="32"/>
          <w:highlight w:val="none"/>
          <w:lang w:val="zh-CN"/>
        </w:rPr>
        <w:t>2.报价要求</w:t>
      </w:r>
    </w:p>
    <w:p>
      <w:pPr>
        <w:shd w:val="clear"/>
        <w:spacing w:line="560" w:lineRule="exact"/>
        <w:ind w:firstLine="640" w:firstLineChars="200"/>
        <w:rPr>
          <w:rFonts w:hint="eastAsia" w:ascii="仿宋_GB2312" w:hAnsi="仿宋_GB2312" w:eastAsia="仿宋_GB2312" w:cs="仿宋_GB2312"/>
          <w:b/>
          <w:bCs/>
          <w:color w:val="FF0000"/>
          <w:sz w:val="32"/>
          <w:szCs w:val="32"/>
          <w:highlight w:val="none"/>
          <w:lang w:val="zh-CN" w:eastAsia="zh-CN"/>
        </w:rPr>
      </w:pPr>
      <w:r>
        <w:rPr>
          <w:rFonts w:hint="eastAsia" w:ascii="仿宋_GB2312" w:hAnsi="仿宋_GB2312" w:eastAsia="仿宋_GB2312" w:cs="仿宋_GB2312"/>
          <w:color w:val="FF0000"/>
          <w:sz w:val="32"/>
          <w:szCs w:val="32"/>
          <w:highlight w:val="none"/>
          <w:lang w:eastAsia="zh-CN"/>
        </w:rPr>
        <w:t>采购量</w:t>
      </w:r>
      <w:r>
        <w:rPr>
          <w:rFonts w:hint="eastAsia" w:ascii="仿宋_GB2312" w:hAnsi="仿宋_GB2312" w:eastAsia="仿宋_GB2312" w:cs="仿宋_GB2312"/>
          <w:color w:val="FF0000"/>
          <w:sz w:val="32"/>
          <w:szCs w:val="32"/>
          <w:highlight w:val="none"/>
          <w:lang w:val="en-US" w:eastAsia="zh-CN"/>
        </w:rPr>
        <w:t>5000湿吨（+/-10%），</w:t>
      </w:r>
      <w:r>
        <w:rPr>
          <w:rFonts w:hint="eastAsia" w:ascii="仿宋_GB2312" w:hAnsi="仿宋_GB2312" w:eastAsia="仿宋_GB2312" w:cs="仿宋_GB2312"/>
          <w:color w:val="FF0000"/>
          <w:sz w:val="32"/>
          <w:szCs w:val="32"/>
          <w:highlight w:val="none"/>
        </w:rPr>
        <w:t>自有货权的现货资源，一旦中标及时交货。</w:t>
      </w:r>
      <w:r>
        <w:rPr>
          <w:rFonts w:hint="eastAsia" w:ascii="仿宋_GB2312" w:hAnsi="仿宋_GB2312" w:eastAsia="仿宋_GB2312" w:cs="仿宋_GB2312"/>
          <w:color w:val="FF0000"/>
          <w:sz w:val="32"/>
          <w:szCs w:val="32"/>
          <w:highlight w:val="none"/>
          <w:lang w:val="en-US" w:eastAsia="zh-CN"/>
        </w:rPr>
        <w:t>投标</w:t>
      </w:r>
      <w:r>
        <w:rPr>
          <w:rFonts w:hint="eastAsia" w:ascii="仿宋_GB2312" w:hAnsi="仿宋_GB2312" w:eastAsia="仿宋_GB2312" w:cs="仿宋_GB2312"/>
          <w:color w:val="FF0000"/>
          <w:sz w:val="32"/>
          <w:szCs w:val="32"/>
          <w:highlight w:val="none"/>
          <w:lang w:val="zh-CN"/>
        </w:rPr>
        <w:t>报价</w:t>
      </w:r>
      <w:r>
        <w:rPr>
          <w:rFonts w:hint="eastAsia" w:ascii="仿宋_GB2312" w:hAnsi="仿宋_GB2312" w:eastAsia="仿宋_GB2312" w:cs="仿宋_GB2312"/>
          <w:color w:val="FF0000"/>
          <w:sz w:val="32"/>
          <w:szCs w:val="32"/>
          <w:highlight w:val="none"/>
          <w:lang w:val="en-US" w:eastAsia="zh-CN"/>
        </w:rPr>
        <w:t>为港口车板交货湿基现汇</w:t>
      </w:r>
      <w:r>
        <w:rPr>
          <w:rFonts w:hint="eastAsia" w:ascii="仿宋_GB2312" w:hAnsi="仿宋_GB2312" w:eastAsia="仿宋_GB2312" w:cs="仿宋_GB2312"/>
          <w:b/>
          <w:bCs/>
          <w:color w:val="FF0000"/>
          <w:sz w:val="32"/>
          <w:szCs w:val="32"/>
          <w:highlight w:val="none"/>
          <w:lang w:val="en-US" w:eastAsia="zh-CN"/>
        </w:rPr>
        <w:t>不含税价，并注明交货港口（未注明港口按照无效处理）</w:t>
      </w:r>
      <w:r>
        <w:rPr>
          <w:rFonts w:hint="eastAsia" w:ascii="仿宋_GB2312" w:hAnsi="仿宋_GB2312" w:eastAsia="仿宋_GB2312" w:cs="仿宋_GB2312"/>
          <w:b/>
          <w:bCs/>
          <w:color w:val="FF0000"/>
          <w:sz w:val="32"/>
          <w:szCs w:val="32"/>
          <w:highlight w:val="none"/>
          <w:lang w:val="zh-CN" w:eastAsia="zh-CN"/>
        </w:rPr>
        <w:t>。</w:t>
      </w:r>
    </w:p>
    <w:p>
      <w:pPr>
        <w:numPr>
          <w:ilvl w:val="0"/>
          <w:numId w:val="0"/>
        </w:numPr>
        <w:shd w:val="clear"/>
        <w:spacing w:line="560" w:lineRule="exact"/>
        <w:ind w:left="630" w:leftChars="0"/>
        <w:rPr>
          <w:rFonts w:hint="eastAsia" w:ascii="仿宋_GB2312" w:hAnsi="仿宋_GB2312" w:eastAsia="仿宋_GB2312" w:cs="仿宋_GB2312"/>
          <w:color w:val="FF0000"/>
          <w:sz w:val="32"/>
          <w:szCs w:val="32"/>
          <w:highlight w:val="none"/>
          <w:lang w:val="en-US" w:eastAsia="zh-CN"/>
        </w:rPr>
      </w:pPr>
      <w:r>
        <w:rPr>
          <w:rFonts w:hint="eastAsia" w:ascii="仿宋_GB2312" w:hAnsi="仿宋_GB2312" w:eastAsia="仿宋_GB2312" w:cs="仿宋_GB2312"/>
          <w:color w:val="FF0000"/>
          <w:sz w:val="32"/>
          <w:szCs w:val="32"/>
          <w:highlight w:val="none"/>
          <w:lang w:val="en-US" w:eastAsia="zh-CN"/>
        </w:rPr>
        <w:t>3.技术条件和资质要求</w:t>
      </w:r>
    </w:p>
    <w:p>
      <w:pPr>
        <w:numPr>
          <w:ilvl w:val="0"/>
          <w:numId w:val="0"/>
        </w:numPr>
        <w:shd w:val="clear"/>
        <w:spacing w:line="560" w:lineRule="exact"/>
        <w:ind w:left="630" w:leftChars="0"/>
        <w:rPr>
          <w:rFonts w:hint="default" w:ascii="仿宋_GB2312" w:hAnsi="仿宋_GB2312" w:eastAsia="仿宋_GB2312" w:cs="仿宋_GB2312"/>
          <w:color w:val="FF0000"/>
          <w:sz w:val="32"/>
          <w:szCs w:val="32"/>
          <w:highlight w:val="none"/>
          <w:lang w:val="en-US" w:eastAsia="zh-CN"/>
        </w:rPr>
      </w:pPr>
      <w:r>
        <w:rPr>
          <w:rFonts w:hint="eastAsia" w:ascii="仿宋_GB2312" w:hAnsi="仿宋_GB2312" w:eastAsia="仿宋_GB2312" w:cs="仿宋_GB2312"/>
          <w:color w:val="FF0000"/>
          <w:sz w:val="32"/>
          <w:szCs w:val="32"/>
          <w:highlight w:val="none"/>
          <w:lang w:val="en-US" w:eastAsia="zh-CN"/>
        </w:rPr>
        <w:t>3.1技术条件</w:t>
      </w:r>
    </w:p>
    <w:tbl>
      <w:tblPr>
        <w:tblStyle w:val="3"/>
        <w:tblpPr w:leftFromText="180" w:rightFromText="180" w:vertAnchor="text" w:horzAnchor="page" w:tblpX="2541" w:tblpY="184"/>
        <w:tblOverlap w:val="never"/>
        <w:tblW w:w="631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3190"/>
        <w:gridCol w:w="31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31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Fe（%）</w:t>
            </w:r>
          </w:p>
        </w:tc>
        <w:tc>
          <w:tcPr>
            <w:tcW w:w="31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Ni（%）</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31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default" w:ascii="宋体" w:hAnsi="宋体" w:eastAsia="宋体" w:cs="宋体"/>
                <w:i w:val="0"/>
                <w:color w:val="000000"/>
                <w:sz w:val="28"/>
                <w:szCs w:val="28"/>
                <w:u w:val="none"/>
                <w:lang w:val="en-US"/>
              </w:rPr>
            </w:pPr>
            <w:r>
              <w:rPr>
                <w:rFonts w:hint="eastAsia" w:ascii="宋体" w:hAnsi="宋体" w:eastAsia="宋体" w:cs="宋体"/>
                <w:i w:val="0"/>
                <w:color w:val="000000"/>
                <w:kern w:val="0"/>
                <w:sz w:val="28"/>
                <w:szCs w:val="28"/>
                <w:u w:val="none"/>
                <w:lang w:val="en-US" w:eastAsia="zh-CN" w:bidi="ar"/>
              </w:rPr>
              <w:t>≧48</w:t>
            </w:r>
          </w:p>
        </w:tc>
        <w:tc>
          <w:tcPr>
            <w:tcW w:w="31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default" w:ascii="宋体" w:hAnsi="宋体" w:eastAsia="宋体" w:cs="宋体"/>
                <w:i w:val="0"/>
                <w:color w:val="000000"/>
                <w:sz w:val="28"/>
                <w:szCs w:val="28"/>
                <w:u w:val="none"/>
                <w:lang w:val="en-US"/>
              </w:rPr>
            </w:pPr>
            <w:r>
              <w:rPr>
                <w:rFonts w:hint="eastAsia" w:ascii="宋体" w:hAnsi="宋体" w:eastAsia="宋体" w:cs="宋体"/>
                <w:i w:val="0"/>
                <w:color w:val="000000"/>
                <w:kern w:val="0"/>
                <w:sz w:val="28"/>
                <w:szCs w:val="28"/>
                <w:u w:val="none"/>
                <w:lang w:val="en-US" w:eastAsia="zh-CN" w:bidi="ar"/>
              </w:rPr>
              <w:t>≧0.4</w:t>
            </w:r>
          </w:p>
        </w:tc>
      </w:tr>
    </w:tbl>
    <w:p>
      <w:pPr>
        <w:shd w:val="clear"/>
        <w:spacing w:line="560" w:lineRule="exact"/>
        <w:ind w:firstLine="640" w:firstLineChars="200"/>
        <w:rPr>
          <w:rFonts w:hint="eastAsia" w:ascii="仿宋_GB2312" w:hAnsi="仿宋_GB2312" w:eastAsia="仿宋_GB2312" w:cs="仿宋_GB2312"/>
          <w:color w:val="auto"/>
          <w:sz w:val="32"/>
          <w:szCs w:val="32"/>
          <w:highlight w:val="none"/>
          <w:lang w:val="en-US" w:eastAsia="zh-CN"/>
        </w:rPr>
      </w:pPr>
    </w:p>
    <w:p>
      <w:pPr>
        <w:shd w:val="clear"/>
        <w:spacing w:line="560" w:lineRule="exact"/>
        <w:ind w:firstLine="640" w:firstLineChars="200"/>
        <w:rPr>
          <w:rFonts w:hint="eastAsia" w:ascii="仿宋_GB2312" w:hAnsi="仿宋_GB2312" w:eastAsia="仿宋_GB2312" w:cs="仿宋_GB2312"/>
          <w:color w:val="auto"/>
          <w:sz w:val="32"/>
          <w:szCs w:val="32"/>
          <w:highlight w:val="none"/>
          <w:lang w:val="en-US" w:eastAsia="zh-CN"/>
        </w:rPr>
      </w:pPr>
    </w:p>
    <w:p>
      <w:pPr>
        <w:shd w:val="clear"/>
        <w:spacing w:line="560" w:lineRule="exact"/>
        <w:ind w:firstLine="640" w:firstLineChars="200"/>
        <w:rPr>
          <w:rFonts w:hint="eastAsia" w:ascii="仿宋_GB2312" w:hAnsi="仿宋_GB2312" w:eastAsia="仿宋_GB2312" w:cs="仿宋_GB2312"/>
          <w:color w:val="auto"/>
          <w:sz w:val="32"/>
          <w:szCs w:val="32"/>
          <w:highlight w:val="none"/>
          <w:lang w:val="en-US" w:eastAsia="zh-CN"/>
        </w:rPr>
      </w:pPr>
    </w:p>
    <w:p>
      <w:pPr>
        <w:shd w:val="clear"/>
        <w:spacing w:line="560" w:lineRule="exact"/>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3.2资质要求 </w:t>
      </w:r>
    </w:p>
    <w:p>
      <w:pPr>
        <w:shd w:val="clear"/>
        <w:spacing w:line="560" w:lineRule="exact"/>
        <w:ind w:firstLine="640" w:firstLineChars="200"/>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准备参与报价的潜在供应商需按准入条件及采购要求，并上传相关资质。</w:t>
      </w:r>
    </w:p>
    <w:p>
      <w:pPr>
        <w:shd w:val="clear"/>
        <w:spacing w:line="560" w:lineRule="exact"/>
        <w:ind w:firstLine="640" w:firstLineChars="200"/>
        <w:rPr>
          <w:rFonts w:hint="eastAsia" w:ascii="仿宋_GB2312" w:hAnsi="仿宋_GB2312" w:eastAsia="仿宋_GB2312" w:cs="仿宋_GB2312"/>
          <w:b w:val="0"/>
          <w:bCs w:val="0"/>
          <w:color w:val="FF0000"/>
          <w:sz w:val="32"/>
          <w:szCs w:val="32"/>
          <w:highlight w:val="none"/>
          <w:lang w:val="en-US" w:eastAsia="zh-CN"/>
        </w:rPr>
      </w:pPr>
      <w:r>
        <w:rPr>
          <w:rFonts w:hint="eastAsia" w:ascii="仿宋_GB2312" w:hAnsi="仿宋_GB2312" w:eastAsia="仿宋_GB2312" w:cs="仿宋_GB2312"/>
          <w:b w:val="0"/>
          <w:bCs w:val="0"/>
          <w:color w:val="FF0000"/>
          <w:sz w:val="32"/>
          <w:szCs w:val="32"/>
          <w:highlight w:val="none"/>
          <w:lang w:val="en-US" w:eastAsia="zh-CN"/>
        </w:rPr>
        <w:t>3.2.1.营业执照（注册资金1000万元）；</w:t>
      </w:r>
    </w:p>
    <w:p>
      <w:pPr>
        <w:shd w:val="clear"/>
        <w:spacing w:line="560" w:lineRule="exact"/>
        <w:ind w:firstLine="640" w:firstLineChars="200"/>
        <w:rPr>
          <w:rFonts w:hint="eastAsia" w:ascii="仿宋_GB2312" w:hAnsi="仿宋_GB2312" w:eastAsia="仿宋_GB2312" w:cs="仿宋_GB2312"/>
          <w:b w:val="0"/>
          <w:bCs w:val="0"/>
          <w:color w:val="FF0000"/>
          <w:sz w:val="32"/>
          <w:szCs w:val="32"/>
          <w:highlight w:val="none"/>
          <w:lang w:val="en-US" w:eastAsia="zh-CN"/>
        </w:rPr>
      </w:pPr>
      <w:r>
        <w:rPr>
          <w:rFonts w:hint="eastAsia" w:ascii="仿宋_GB2312" w:hAnsi="仿宋_GB2312" w:eastAsia="仿宋_GB2312" w:cs="仿宋_GB2312"/>
          <w:b w:val="0"/>
          <w:bCs w:val="0"/>
          <w:color w:val="FF0000"/>
          <w:sz w:val="32"/>
          <w:szCs w:val="32"/>
          <w:highlight w:val="none"/>
          <w:lang w:val="en-US" w:eastAsia="zh-CN"/>
        </w:rPr>
        <w:t>3.2.2.提供投标函授权委托书，投标函应符合“投标文件格式”的规定，有法定代表人或其委托代理签字或加盖单位公章。由法定代表人（单位负责人）签字的，应附法定代表人（单位负责人）身份证明；由代理人签字的，应附授权委托书；身份证明或授权委托书应符合“投标文件格式”的规定。</w:t>
      </w:r>
    </w:p>
    <w:p>
      <w:pPr>
        <w:shd w:val="clear"/>
        <w:spacing w:line="560" w:lineRule="exact"/>
        <w:ind w:firstLine="640" w:firstLineChars="200"/>
        <w:rPr>
          <w:rFonts w:hint="default" w:ascii="仿宋_GB2312" w:hAnsi="仿宋_GB2312" w:eastAsia="仿宋_GB2312" w:cs="仿宋_GB2312"/>
          <w:b w:val="0"/>
          <w:bCs w:val="0"/>
          <w:color w:val="FF0000"/>
          <w:sz w:val="32"/>
          <w:szCs w:val="32"/>
          <w:highlight w:val="none"/>
          <w:lang w:val="en-US" w:eastAsia="zh-CN"/>
        </w:rPr>
      </w:pPr>
      <w:r>
        <w:rPr>
          <w:rFonts w:hint="eastAsia" w:ascii="仿宋_GB2312" w:hAnsi="仿宋_GB2312" w:eastAsia="仿宋_GB2312" w:cs="仿宋_GB2312"/>
          <w:b w:val="0"/>
          <w:bCs w:val="0"/>
          <w:color w:val="FF0000"/>
          <w:sz w:val="32"/>
          <w:szCs w:val="32"/>
          <w:highlight w:val="none"/>
          <w:lang w:val="en-US" w:eastAsia="zh-CN"/>
        </w:rPr>
        <w:t>3.2.3.提供本批货物的质量报告（需符合3.1技术条件要求）。</w:t>
      </w:r>
    </w:p>
    <w:p>
      <w:pPr>
        <w:shd w:val="clear"/>
        <w:spacing w:line="560" w:lineRule="exact"/>
        <w:ind w:firstLine="640" w:firstLineChars="200"/>
        <w:rPr>
          <w:rFonts w:hint="eastAsia" w:ascii="仿宋_GB2312" w:hAnsi="仿宋_GB2312" w:eastAsia="仿宋_GB2312" w:cs="仿宋_GB2312"/>
          <w:color w:val="auto"/>
          <w:sz w:val="32"/>
          <w:szCs w:val="32"/>
          <w:highlight w:val="none"/>
          <w:lang w:val="zh-CN"/>
        </w:rPr>
      </w:pP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lang w:val="zh-CN"/>
        </w:rPr>
        <w:t>.商务要求</w:t>
      </w:r>
    </w:p>
    <w:p>
      <w:pPr>
        <w:shd w:val="clear"/>
        <w:spacing w:line="560" w:lineRule="exact"/>
        <w:ind w:firstLine="640" w:firstLineChars="200"/>
        <w:rPr>
          <w:rFonts w:hint="eastAsia" w:ascii="仿宋_GB2312" w:hAnsi="仿宋_GB2312" w:eastAsia="仿宋_GB2312" w:cs="仿宋_GB2312"/>
          <w:b w:val="0"/>
          <w:bCs w:val="0"/>
          <w:color w:val="auto"/>
          <w:sz w:val="32"/>
          <w:szCs w:val="32"/>
          <w:highlight w:val="none"/>
          <w:lang w:eastAsia="zh-CN"/>
        </w:rPr>
      </w:pPr>
      <w:bookmarkStart w:id="0" w:name="OLE_LINK1"/>
      <w:r>
        <w:rPr>
          <w:rFonts w:hint="eastAsia" w:ascii="仿宋_GB2312" w:hAnsi="仿宋_GB2312" w:eastAsia="仿宋_GB2312" w:cs="仿宋_GB2312"/>
          <w:b w:val="0"/>
          <w:bCs w:val="0"/>
          <w:color w:val="auto"/>
          <w:sz w:val="32"/>
          <w:szCs w:val="32"/>
          <w:highlight w:val="none"/>
          <w:lang w:val="en-US" w:eastAsia="zh-CN"/>
        </w:rPr>
        <w:t>4.</w:t>
      </w:r>
      <w:r>
        <w:rPr>
          <w:rFonts w:hint="eastAsia" w:ascii="仿宋_GB2312" w:hAnsi="仿宋_GB2312" w:eastAsia="仿宋_GB2312" w:cs="仿宋_GB2312"/>
          <w:b w:val="0"/>
          <w:bCs w:val="0"/>
          <w:color w:val="auto"/>
          <w:sz w:val="32"/>
          <w:szCs w:val="32"/>
          <w:highlight w:val="none"/>
          <w:lang w:eastAsia="zh-CN"/>
        </w:rPr>
        <w:t>1.投标人工商注册年限要求：</w:t>
      </w:r>
    </w:p>
    <w:p>
      <w:pPr>
        <w:shd w:val="clear"/>
        <w:spacing w:line="560" w:lineRule="exact"/>
        <w:ind w:firstLine="640" w:firstLineChars="200"/>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eastAsia="zh-CN"/>
        </w:rPr>
        <w:t>以投标截止之日为限，须工商注册成立一年以上。</w:t>
      </w:r>
    </w:p>
    <w:p>
      <w:pPr>
        <w:shd w:val="clear"/>
        <w:spacing w:line="560" w:lineRule="exact"/>
        <w:ind w:firstLine="640" w:firstLineChars="200"/>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val="en-US" w:eastAsia="zh-CN"/>
        </w:rPr>
        <w:t>4.</w:t>
      </w:r>
      <w:r>
        <w:rPr>
          <w:rFonts w:hint="eastAsia" w:ascii="仿宋_GB2312" w:hAnsi="仿宋_GB2312" w:eastAsia="仿宋_GB2312" w:cs="仿宋_GB2312"/>
          <w:b w:val="0"/>
          <w:bCs w:val="0"/>
          <w:color w:val="auto"/>
          <w:sz w:val="32"/>
          <w:szCs w:val="32"/>
          <w:highlight w:val="none"/>
          <w:lang w:eastAsia="zh-CN"/>
        </w:rPr>
        <w:t>2.不接受联合体投标。</w:t>
      </w:r>
    </w:p>
    <w:p>
      <w:pPr>
        <w:shd w:val="clear"/>
        <w:spacing w:line="560" w:lineRule="exact"/>
        <w:ind w:firstLine="640" w:firstLineChars="200"/>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val="en-US" w:eastAsia="zh-CN"/>
        </w:rPr>
        <w:t>4.</w:t>
      </w:r>
      <w:r>
        <w:rPr>
          <w:rFonts w:hint="eastAsia" w:ascii="仿宋_GB2312" w:hAnsi="仿宋_GB2312" w:eastAsia="仿宋_GB2312" w:cs="仿宋_GB2312"/>
          <w:b w:val="0"/>
          <w:bCs w:val="0"/>
          <w:color w:val="auto"/>
          <w:sz w:val="32"/>
          <w:szCs w:val="32"/>
          <w:highlight w:val="none"/>
          <w:lang w:eastAsia="zh-CN"/>
        </w:rPr>
        <w:t>3.流通型企业投标。</w:t>
      </w:r>
    </w:p>
    <w:p>
      <w:pPr>
        <w:shd w:val="clear"/>
        <w:spacing w:line="560" w:lineRule="exact"/>
        <w:ind w:firstLine="640" w:firstLineChars="200"/>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val="en-US" w:eastAsia="zh-CN"/>
        </w:rPr>
        <w:t>4.</w:t>
      </w:r>
      <w:r>
        <w:rPr>
          <w:rFonts w:hint="eastAsia" w:ascii="仿宋_GB2312" w:hAnsi="仿宋_GB2312" w:eastAsia="仿宋_GB2312" w:cs="仿宋_GB2312"/>
          <w:b w:val="0"/>
          <w:bCs w:val="0"/>
          <w:color w:val="auto"/>
          <w:sz w:val="32"/>
          <w:szCs w:val="32"/>
          <w:highlight w:val="none"/>
          <w:lang w:eastAsia="zh-CN"/>
        </w:rPr>
        <w:t>4.禁止鞍钢集团公司及本项目采购组织的限期整改、灰名单、黑名单企业参与本次投标。</w:t>
      </w:r>
    </w:p>
    <w:p>
      <w:pPr>
        <w:shd w:val="clear"/>
        <w:spacing w:line="560" w:lineRule="exact"/>
        <w:ind w:firstLine="640" w:firstLineChars="200"/>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val="en-US" w:eastAsia="zh-CN"/>
        </w:rPr>
        <w:t>4.</w:t>
      </w:r>
      <w:r>
        <w:rPr>
          <w:rFonts w:hint="eastAsia" w:ascii="仿宋_GB2312" w:hAnsi="仿宋_GB2312" w:eastAsia="仿宋_GB2312" w:cs="仿宋_GB2312"/>
          <w:b w:val="0"/>
          <w:bCs w:val="0"/>
          <w:color w:val="auto"/>
          <w:sz w:val="32"/>
          <w:szCs w:val="32"/>
          <w:highlight w:val="none"/>
          <w:lang w:eastAsia="zh-CN"/>
        </w:rPr>
        <w:t>5.单位负责人为同一人、存在控股关系、管理关系的不同投标人参与投标，资格后审项目，取消全部涉及投标人投标资格。</w:t>
      </w:r>
    </w:p>
    <w:p>
      <w:pPr>
        <w:shd w:val="clear"/>
        <w:spacing w:line="560" w:lineRule="exact"/>
        <w:ind w:firstLine="640" w:firstLineChars="200"/>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val="en-US" w:eastAsia="zh-CN"/>
        </w:rPr>
        <w:t>4.</w:t>
      </w:r>
      <w:r>
        <w:rPr>
          <w:rFonts w:hint="eastAsia" w:ascii="仿宋_GB2312" w:hAnsi="仿宋_GB2312" w:eastAsia="仿宋_GB2312" w:cs="仿宋_GB2312"/>
          <w:b w:val="0"/>
          <w:bCs w:val="0"/>
          <w:color w:val="auto"/>
          <w:sz w:val="32"/>
          <w:szCs w:val="32"/>
          <w:highlight w:val="none"/>
          <w:lang w:eastAsia="zh-CN"/>
        </w:rPr>
        <w:t>6.投标方未按要求提供相关注册资金、资质、业绩等证明，或提供的相关注册资金、资质、业绩等证明不清晰无法证明有效性的，投标文件无效。</w:t>
      </w:r>
    </w:p>
    <w:p>
      <w:pPr>
        <w:shd w:val="clear"/>
        <w:spacing w:line="560" w:lineRule="exact"/>
        <w:ind w:firstLine="640" w:firstLineChars="200"/>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val="en-US" w:eastAsia="zh-CN"/>
        </w:rPr>
        <w:t>4.</w:t>
      </w:r>
      <w:r>
        <w:rPr>
          <w:rFonts w:hint="eastAsia" w:ascii="仿宋_GB2312" w:hAnsi="仿宋_GB2312" w:eastAsia="仿宋_GB2312" w:cs="仿宋_GB2312"/>
          <w:b w:val="0"/>
          <w:bCs w:val="0"/>
          <w:color w:val="auto"/>
          <w:sz w:val="32"/>
          <w:szCs w:val="32"/>
          <w:highlight w:val="none"/>
          <w:lang w:eastAsia="zh-CN"/>
        </w:rPr>
        <w:t>7.投标方必须确保提供的所有证明（包括但不限于注册资金、资质、业绩等）合法、真实、有效，否则承担由此产生的法律责任。</w:t>
      </w:r>
    </w:p>
    <w:p>
      <w:pPr>
        <w:shd w:val="clear"/>
        <w:spacing w:line="560" w:lineRule="exact"/>
        <w:ind w:firstLine="640" w:firstLineChars="200"/>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4.</w:t>
      </w:r>
      <w:r>
        <w:rPr>
          <w:rFonts w:hint="eastAsia" w:ascii="仿宋_GB2312" w:hAnsi="仿宋_GB2312" w:eastAsia="仿宋_GB2312" w:cs="仿宋_GB2312"/>
          <w:b w:val="0"/>
          <w:bCs w:val="0"/>
          <w:color w:val="auto"/>
          <w:sz w:val="32"/>
          <w:szCs w:val="32"/>
          <w:highlight w:val="none"/>
          <w:lang w:eastAsia="zh-CN"/>
        </w:rPr>
        <w:t>8.</w:t>
      </w:r>
      <w:r>
        <w:rPr>
          <w:rFonts w:hint="eastAsia" w:ascii="仿宋_GB2312" w:hAnsi="仿宋_GB2312" w:eastAsia="仿宋_GB2312" w:cs="仿宋_GB2312"/>
          <w:color w:val="auto"/>
          <w:sz w:val="32"/>
          <w:szCs w:val="32"/>
          <w:highlight w:val="none"/>
          <w:lang w:val="zh-CN"/>
        </w:rPr>
        <w:t>交货时间、地点及方式：</w:t>
      </w:r>
      <w:r>
        <w:rPr>
          <w:rFonts w:hint="eastAsia" w:ascii="仿宋_GB2312" w:hAnsi="仿宋_GB2312" w:eastAsia="仿宋_GB2312" w:cs="仿宋_GB2312"/>
          <w:color w:val="auto"/>
          <w:sz w:val="32"/>
          <w:szCs w:val="32"/>
          <w:highlight w:val="none"/>
          <w:lang w:val="en-US" w:eastAsia="zh-CN"/>
        </w:rPr>
        <w:t>合同签订后三个工作日内转移货权，交货地点：京唐港/曹妃甸港。运费（不含税）：京唐港:55.05元/湿吨，曹妃甸港:66.06元/湿吨。</w:t>
      </w:r>
    </w:p>
    <w:p>
      <w:pPr>
        <w:shd w:val="clear"/>
        <w:spacing w:line="560" w:lineRule="exact"/>
        <w:ind w:firstLine="640" w:firstLineChars="200"/>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val="en-US" w:eastAsia="zh-CN"/>
        </w:rPr>
        <w:t>4.9.</w:t>
      </w:r>
      <w:r>
        <w:rPr>
          <w:rFonts w:hint="eastAsia" w:ascii="仿宋_GB2312" w:hAnsi="仿宋_GB2312" w:eastAsia="仿宋_GB2312" w:cs="仿宋_GB2312"/>
          <w:b w:val="0"/>
          <w:bCs w:val="0"/>
          <w:color w:val="auto"/>
          <w:sz w:val="32"/>
          <w:szCs w:val="32"/>
          <w:highlight w:val="none"/>
          <w:lang w:eastAsia="zh-CN"/>
        </w:rPr>
        <w:t>评标方法：经评审的最低投标价法，</w:t>
      </w:r>
      <w:r>
        <w:rPr>
          <w:rFonts w:hint="eastAsia" w:ascii="仿宋_GB2312" w:hAnsi="仿宋_GB2312" w:eastAsia="仿宋_GB2312" w:cs="仿宋_GB2312"/>
          <w:b w:val="0"/>
          <w:bCs w:val="0"/>
          <w:color w:val="auto"/>
          <w:sz w:val="32"/>
          <w:szCs w:val="32"/>
          <w:highlight w:val="none"/>
          <w:lang w:val="en-US" w:eastAsia="zh-CN"/>
        </w:rPr>
        <w:t>预测价作为评标重要参考依据</w:t>
      </w:r>
      <w:r>
        <w:rPr>
          <w:rFonts w:hint="eastAsia" w:ascii="仿宋_GB2312" w:hAnsi="仿宋_GB2312" w:eastAsia="仿宋_GB2312" w:cs="仿宋_GB2312"/>
          <w:b w:val="0"/>
          <w:bCs w:val="0"/>
          <w:color w:val="auto"/>
          <w:sz w:val="32"/>
          <w:szCs w:val="32"/>
          <w:highlight w:val="none"/>
          <w:lang w:eastAsia="zh-CN"/>
        </w:rPr>
        <w:t>。</w:t>
      </w:r>
    </w:p>
    <w:bookmarkEnd w:id="0"/>
    <w:p>
      <w:pPr>
        <w:shd w:val="clear"/>
        <w:spacing w:line="560" w:lineRule="exact"/>
        <w:ind w:firstLine="640" w:firstLineChars="200"/>
        <w:rPr>
          <w:rFonts w:hint="eastAsia" w:ascii="仿宋_GB2312" w:hAnsi="仿宋_GB2312" w:eastAsia="仿宋_GB2312" w:cs="仿宋_GB2312"/>
          <w:color w:val="auto"/>
          <w:sz w:val="32"/>
          <w:szCs w:val="32"/>
          <w:highlight w:val="none"/>
          <w:lang w:val="zh-CN"/>
        </w:rPr>
      </w:pP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lang w:val="zh-CN"/>
        </w:rPr>
        <w:t>付款条件</w:t>
      </w:r>
    </w:p>
    <w:p>
      <w:pPr>
        <w:shd w:val="clear"/>
        <w:spacing w:line="560" w:lineRule="exact"/>
        <w:ind w:firstLine="640" w:firstLineChars="200"/>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eastAsia="zh-CN"/>
        </w:rPr>
        <w:t>乙方应在合同签订后一个工作日内转移合同全部货权，甲方在收到有效货权后</w:t>
      </w:r>
      <w:r>
        <w:rPr>
          <w:rFonts w:hint="eastAsia" w:ascii="仿宋_GB2312" w:hAnsi="仿宋_GB2312" w:eastAsia="仿宋_GB2312" w:cs="仿宋_GB2312"/>
          <w:b w:val="0"/>
          <w:bCs w:val="0"/>
          <w:color w:val="auto"/>
          <w:sz w:val="32"/>
          <w:szCs w:val="32"/>
          <w:highlight w:val="none"/>
          <w:lang w:val="en-US" w:eastAsia="zh-CN"/>
        </w:rPr>
        <w:t>五</w:t>
      </w:r>
      <w:bookmarkStart w:id="1" w:name="_GoBack"/>
      <w:bookmarkEnd w:id="1"/>
      <w:r>
        <w:rPr>
          <w:rFonts w:hint="eastAsia" w:ascii="仿宋_GB2312" w:hAnsi="仿宋_GB2312" w:eastAsia="仿宋_GB2312" w:cs="仿宋_GB2312"/>
          <w:b w:val="0"/>
          <w:bCs w:val="0"/>
          <w:color w:val="auto"/>
          <w:sz w:val="32"/>
          <w:szCs w:val="32"/>
          <w:highlight w:val="none"/>
          <w:lang w:eastAsia="zh-CN"/>
        </w:rPr>
        <w:t>个工作日支付合同87%货款, 尾款在双方最终结算完毕且甲方收到全部货款发票后五个工作日内支付。</w:t>
      </w:r>
    </w:p>
    <w:p>
      <w:pPr>
        <w:numPr>
          <w:ilvl w:val="0"/>
          <w:numId w:val="0"/>
        </w:numPr>
        <w:shd w:val="clear"/>
        <w:spacing w:line="560" w:lineRule="exact"/>
        <w:ind w:left="630" w:leftChars="0"/>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6.采购原则</w:t>
      </w:r>
    </w:p>
    <w:p>
      <w:pPr>
        <w:shd w:val="clear"/>
        <w:spacing w:line="560" w:lineRule="exact"/>
        <w:ind w:firstLine="627" w:firstLineChars="196"/>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 xml:space="preserve">若投标方报价在标底（预测价格）以内，原则上取标底（预测价格）范围内的最低报价为成交价格；如投标方报价均超出标底（预测价格），则与排序第一的投标方进行自主优惠谈判，若当日谈判后的最低报价未达到采购预期时，考虑到进口矿具有金融属性，价格受当日期货盘面价格等影响较大，建议由委托方与排序第一的投标方进行第二阶段自主优惠澄清，如仍未达到采购预期时，本次招标失败，流标。   </w:t>
      </w:r>
    </w:p>
    <w:p>
      <w:pPr>
        <w:shd w:val="clear"/>
        <w:spacing w:line="560" w:lineRule="exact"/>
        <w:ind w:firstLine="640" w:firstLineChars="200"/>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若同时出现多家排序并列第一，经过一轮自主优惠报价后，还有多家并列排序第一，取注册资金最高的投标方为中标方。</w:t>
      </w:r>
    </w:p>
    <w:p>
      <w:pPr>
        <w:shd w:val="clear"/>
        <w:spacing w:line="560" w:lineRule="exact"/>
        <w:ind w:firstLine="630" w:firstLineChars="196"/>
        <w:rPr>
          <w:rFonts w:hint="eastAsia" w:ascii="仿宋_GB2312" w:hAnsi="仿宋_GB2312" w:eastAsia="仿宋_GB2312" w:cs="仿宋_GB2312"/>
          <w:b/>
          <w:color w:val="auto"/>
          <w:sz w:val="32"/>
          <w:szCs w:val="32"/>
          <w:highlight w:val="none"/>
          <w:lang w:val="en-US" w:eastAsia="zh-CN"/>
        </w:rPr>
      </w:pPr>
      <w:r>
        <w:rPr>
          <w:rFonts w:hint="eastAsia" w:ascii="仿宋_GB2312" w:hAnsi="仿宋_GB2312" w:eastAsia="仿宋_GB2312" w:cs="仿宋_GB2312"/>
          <w:b/>
          <w:color w:val="auto"/>
          <w:sz w:val="32"/>
          <w:szCs w:val="32"/>
          <w:highlight w:val="none"/>
        </w:rPr>
        <w:t>四、明确价格控制方式及使用原则</w:t>
      </w:r>
    </w:p>
    <w:p>
      <w:pPr>
        <w:shd w:val="clear"/>
        <w:spacing w:line="560" w:lineRule="exact"/>
        <w:ind w:firstLine="627" w:firstLineChars="196"/>
        <w:rPr>
          <w:rFonts w:hint="eastAsia" w:ascii="仿宋_GB2312" w:hAnsi="仿宋_GB2312" w:eastAsia="仿宋_GB2312" w:cs="仿宋_GB2312"/>
          <w:color w:val="FF0000"/>
          <w:sz w:val="32"/>
          <w:szCs w:val="32"/>
          <w:highlight w:val="none"/>
          <w:lang w:val="en-US" w:eastAsia="zh-CN"/>
        </w:rPr>
      </w:pPr>
      <w:r>
        <w:rPr>
          <w:rFonts w:hint="eastAsia" w:ascii="仿宋_GB2312" w:hAnsi="仿宋_GB2312" w:eastAsia="仿宋_GB2312" w:cs="仿宋_GB2312"/>
          <w:color w:val="FF0000"/>
          <w:sz w:val="32"/>
          <w:szCs w:val="32"/>
          <w:highlight w:val="none"/>
          <w:lang w:val="en-US" w:eastAsia="zh-CN"/>
        </w:rPr>
        <w:t>预测价</w:t>
      </w:r>
    </w:p>
    <w:p>
      <w:pPr>
        <w:shd w:val="clear"/>
        <w:spacing w:line="560" w:lineRule="exact"/>
        <w:ind w:firstLine="630" w:firstLineChars="196"/>
        <w:rPr>
          <w:rFonts w:hint="default" w:ascii="仿宋_GB2312" w:hAnsi="仿宋_GB2312" w:eastAsia="仿宋_GB2312" w:cs="仿宋_GB2312"/>
          <w:b/>
          <w:color w:val="auto"/>
          <w:sz w:val="32"/>
          <w:szCs w:val="32"/>
          <w:highlight w:val="none"/>
          <w:lang w:val="en-US" w:eastAsia="zh-CN"/>
        </w:rPr>
      </w:pPr>
      <w:r>
        <w:rPr>
          <w:rFonts w:hint="eastAsia" w:ascii="仿宋_GB2312" w:hAnsi="仿宋_GB2312" w:eastAsia="仿宋_GB2312" w:cs="仿宋_GB2312"/>
          <w:b/>
          <w:color w:val="auto"/>
          <w:sz w:val="32"/>
          <w:szCs w:val="32"/>
          <w:highlight w:val="none"/>
        </w:rPr>
        <w:t>五、评</w:t>
      </w:r>
      <w:r>
        <w:rPr>
          <w:rFonts w:hint="eastAsia" w:ascii="仿宋_GB2312" w:hAnsi="仿宋_GB2312" w:eastAsia="仿宋_GB2312" w:cs="仿宋_GB2312"/>
          <w:b/>
          <w:color w:val="auto"/>
          <w:sz w:val="32"/>
          <w:szCs w:val="32"/>
          <w:highlight w:val="none"/>
          <w:lang w:val="en-US" w:eastAsia="zh-CN"/>
        </w:rPr>
        <w:t>审</w:t>
      </w:r>
      <w:r>
        <w:rPr>
          <w:rFonts w:hint="eastAsia" w:ascii="仿宋_GB2312" w:hAnsi="仿宋_GB2312" w:eastAsia="仿宋_GB2312" w:cs="仿宋_GB2312"/>
          <w:b/>
          <w:color w:val="auto"/>
          <w:sz w:val="32"/>
          <w:szCs w:val="32"/>
          <w:highlight w:val="none"/>
        </w:rPr>
        <w:t>标准</w:t>
      </w:r>
      <w:r>
        <w:rPr>
          <w:rFonts w:hint="eastAsia" w:ascii="仿宋_GB2312" w:hAnsi="仿宋_GB2312" w:eastAsia="仿宋_GB2312" w:cs="仿宋_GB2312"/>
          <w:b/>
          <w:color w:val="auto"/>
          <w:sz w:val="32"/>
          <w:szCs w:val="32"/>
          <w:highlight w:val="none"/>
          <w:lang w:val="en-US" w:eastAsia="zh-CN"/>
        </w:rPr>
        <w:t>和方法</w:t>
      </w:r>
    </w:p>
    <w:p>
      <w:pPr>
        <w:shd w:val="clear"/>
        <w:spacing w:line="560" w:lineRule="exact"/>
        <w:ind w:firstLine="640" w:firstLineChars="200"/>
        <w:rPr>
          <w:rFonts w:hint="eastAsia" w:ascii="仿宋_GB2312" w:hAnsi="仿宋_GB2312" w:eastAsia="仿宋_GB2312" w:cs="仿宋_GB2312"/>
          <w:color w:val="FF0000"/>
          <w:sz w:val="32"/>
          <w:szCs w:val="32"/>
          <w:highlight w:val="none"/>
          <w:lang w:val="en-US" w:eastAsia="zh-CN"/>
        </w:rPr>
      </w:pPr>
      <w:r>
        <w:rPr>
          <w:rFonts w:hint="eastAsia" w:ascii="仿宋_GB2312" w:hAnsi="仿宋_GB2312" w:eastAsia="仿宋_GB2312" w:cs="仿宋_GB2312"/>
          <w:color w:val="FF0000"/>
          <w:sz w:val="32"/>
          <w:szCs w:val="32"/>
          <w:highlight w:val="none"/>
          <w:lang w:val="en-US" w:eastAsia="zh-CN"/>
        </w:rPr>
        <w:t>中标单位数量：一家中标。</w:t>
      </w:r>
    </w:p>
    <w:p>
      <w:pPr>
        <w:pStyle w:val="2"/>
        <w:ind w:firstLine="640" w:firstLineChars="200"/>
        <w:rPr>
          <w:rFonts w:hint="eastAsia" w:ascii="仿宋_GB2312" w:hAnsi="仿宋_GB2312" w:eastAsia="仿宋_GB2312" w:cs="仿宋_GB2312"/>
          <w:color w:val="FF0000"/>
          <w:sz w:val="32"/>
          <w:szCs w:val="32"/>
          <w:highlight w:val="none"/>
          <w:lang w:val="en-US" w:eastAsia="zh-CN"/>
        </w:rPr>
      </w:pPr>
      <w:r>
        <w:rPr>
          <w:rFonts w:hint="eastAsia" w:ascii="仿宋_GB2312" w:hAnsi="仿宋_GB2312" w:eastAsia="仿宋_GB2312" w:cs="仿宋_GB2312"/>
          <w:color w:val="FF0000"/>
          <w:sz w:val="32"/>
          <w:szCs w:val="32"/>
          <w:highlight w:val="none"/>
          <w:lang w:val="en-US" w:eastAsia="zh-CN"/>
        </w:rPr>
        <w:t>经评审价格公式：到厂不含税价=报价+运费</w:t>
      </w:r>
    </w:p>
    <w:p>
      <w:pPr>
        <w:pStyle w:val="2"/>
        <w:ind w:firstLine="640" w:firstLineChars="200"/>
        <w:rPr>
          <w:rFonts w:hint="eastAsia" w:ascii="仿宋_GB2312" w:hAnsi="仿宋_GB2312" w:eastAsia="仿宋_GB2312" w:cs="仿宋_GB2312"/>
          <w:color w:val="FF0000"/>
          <w:sz w:val="32"/>
          <w:szCs w:val="32"/>
          <w:highlight w:val="none"/>
          <w:lang w:val="en-US" w:eastAsia="zh-CN"/>
        </w:rPr>
      </w:pPr>
      <w:r>
        <w:rPr>
          <w:rFonts w:hint="eastAsia" w:ascii="仿宋_GB2312" w:hAnsi="仿宋_GB2312" w:eastAsia="仿宋_GB2312" w:cs="仿宋_GB2312"/>
          <w:b w:val="0"/>
          <w:bCs w:val="0"/>
          <w:color w:val="FF0000"/>
          <w:sz w:val="32"/>
          <w:szCs w:val="32"/>
          <w:highlight w:val="none"/>
          <w:lang w:val="en-US" w:eastAsia="zh-CN"/>
        </w:rPr>
        <w:t>预测价作为评标重要参考依据</w:t>
      </w:r>
      <w:r>
        <w:rPr>
          <w:rFonts w:hint="eastAsia" w:ascii="仿宋_GB2312" w:hAnsi="仿宋_GB2312" w:eastAsia="仿宋_GB2312" w:cs="仿宋_GB2312"/>
          <w:b w:val="0"/>
          <w:bCs w:val="0"/>
          <w:color w:val="FF0000"/>
          <w:sz w:val="32"/>
          <w:szCs w:val="32"/>
          <w:highlight w:val="none"/>
          <w:lang w:eastAsia="zh-CN"/>
        </w:rPr>
        <w:t>。</w:t>
      </w:r>
    </w:p>
    <w:p>
      <w:pPr>
        <w:shd w:val="clear"/>
        <w:spacing w:line="560" w:lineRule="exact"/>
        <w:ind w:firstLine="643" w:firstLineChars="200"/>
        <w:rPr>
          <w:rFonts w:hint="eastAsia" w:ascii="仿宋_GB2312" w:hAnsi="仿宋_GB2312" w:eastAsia="仿宋_GB2312" w:cs="仿宋_GB2312"/>
          <w:b/>
          <w:color w:val="auto"/>
          <w:kern w:val="0"/>
          <w:sz w:val="32"/>
          <w:szCs w:val="32"/>
          <w:highlight w:val="none"/>
        </w:rPr>
      </w:pPr>
      <w:r>
        <w:rPr>
          <w:rFonts w:hint="eastAsia" w:ascii="仿宋_GB2312" w:hAnsi="仿宋_GB2312" w:eastAsia="仿宋_GB2312" w:cs="仿宋_GB2312"/>
          <w:b/>
          <w:color w:val="auto"/>
          <w:kern w:val="0"/>
          <w:sz w:val="32"/>
          <w:szCs w:val="32"/>
          <w:highlight w:val="none"/>
        </w:rPr>
        <w:t>六、中标/成交原则</w:t>
      </w:r>
    </w:p>
    <w:p>
      <w:pPr>
        <w:keepNext w:val="0"/>
        <w:keepLines w:val="0"/>
        <w:pageBreakBefore w:val="0"/>
        <w:widowControl/>
        <w:kinsoku/>
        <w:wordWrap/>
        <w:overflowPunct/>
        <w:topLinePunct w:val="0"/>
        <w:autoSpaceDE/>
        <w:autoSpaceDN/>
        <w:bidi w:val="0"/>
        <w:adjustRightInd/>
        <w:snapToGrid/>
        <w:spacing w:line="360" w:lineRule="exact"/>
        <w:ind w:firstLine="640" w:firstLineChars="200"/>
        <w:jc w:val="both"/>
        <w:textAlignment w:val="baseline"/>
        <w:rPr>
          <w:rStyle w:val="5"/>
          <w:rFonts w:hint="default"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FF0000"/>
          <w:sz w:val="32"/>
          <w:szCs w:val="32"/>
          <w:highlight w:val="none"/>
          <w:lang w:val="en-US" w:eastAsia="zh-CN"/>
        </w:rPr>
        <w:t>到厂不含税单价最低</w:t>
      </w:r>
      <w:r>
        <w:rPr>
          <w:rFonts w:hint="eastAsia" w:ascii="仿宋_GB2312" w:hAnsi="仿宋_GB2312" w:eastAsia="仿宋_GB2312" w:cs="仿宋_GB2312"/>
          <w:color w:val="FF0000"/>
          <w:sz w:val="32"/>
          <w:szCs w:val="32"/>
          <w:highlight w:val="none"/>
          <w:lang w:val="zh-CN"/>
        </w:rPr>
        <w:t>中标</w:t>
      </w:r>
      <w:r>
        <w:rPr>
          <w:rFonts w:hint="eastAsia" w:ascii="仿宋_GB2312" w:hAnsi="仿宋_GB2312" w:eastAsia="仿宋_GB2312" w:cs="仿宋_GB2312"/>
          <w:color w:val="auto"/>
          <w:sz w:val="32"/>
          <w:szCs w:val="32"/>
          <w:highlight w:val="none"/>
          <w:lang w:val="zh-CN"/>
        </w:rPr>
        <w:t>。</w:t>
      </w:r>
    </w:p>
    <w:p>
      <w:pPr>
        <w:shd w:val="clear"/>
        <w:spacing w:line="560" w:lineRule="exact"/>
        <w:ind w:firstLine="643" w:firstLineChars="200"/>
        <w:rPr>
          <w:rFonts w:hint="eastAsia" w:ascii="仿宋_GB2312" w:hAnsi="仿宋_GB2312" w:eastAsia="仿宋_GB2312" w:cs="仿宋_GB2312"/>
          <w:b/>
          <w:color w:val="auto"/>
          <w:kern w:val="0"/>
          <w:sz w:val="32"/>
          <w:szCs w:val="32"/>
          <w:highlight w:val="none"/>
          <w:lang w:val="en-US" w:eastAsia="zh-CN"/>
        </w:rPr>
      </w:pPr>
      <w:r>
        <w:rPr>
          <w:rFonts w:hint="eastAsia" w:ascii="仿宋_GB2312" w:hAnsi="仿宋_GB2312" w:eastAsia="仿宋_GB2312" w:cs="仿宋_GB2312"/>
          <w:b/>
          <w:color w:val="auto"/>
          <w:kern w:val="0"/>
          <w:sz w:val="32"/>
          <w:szCs w:val="32"/>
          <w:highlight w:val="none"/>
          <w:lang w:val="en-US" w:eastAsia="zh-CN"/>
        </w:rPr>
        <w:t>七、其它</w:t>
      </w:r>
    </w:p>
    <w:p>
      <w:pPr>
        <w:shd w:val="clear"/>
        <w:spacing w:line="560" w:lineRule="exact"/>
        <w:ind w:firstLine="640" w:firstLineChars="200"/>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1、本项目为公开单轮谈判采购（资格后审）。</w:t>
      </w:r>
    </w:p>
    <w:p>
      <w:pPr>
        <w:shd w:val="clear"/>
        <w:spacing w:line="560" w:lineRule="exact"/>
        <w:ind w:firstLine="640" w:firstLineChars="200"/>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2、采购物料、质量标准、技术要求等见系统中明细表，响应报价类型见系统要求，如有疑问请致电采购方代表。投标方须同意调整供货数量，合同有效期过后，未执行部分自行废止，不再执行。</w:t>
      </w:r>
    </w:p>
    <w:p>
      <w:pPr>
        <w:shd w:val="clear"/>
        <w:spacing w:line="560" w:lineRule="exact"/>
        <w:ind w:firstLine="640" w:firstLineChars="200"/>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3、响应方须上传投标函，投标函中招标人为采购方。投标函报价与系统中报价不一致的，为报价不唯一，投标将被否决。</w:t>
      </w:r>
    </w:p>
    <w:p>
      <w:pPr>
        <w:shd w:val="clear"/>
        <w:spacing w:line="560" w:lineRule="exact"/>
        <w:ind w:firstLine="640" w:firstLineChars="200"/>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4、响应方报价时请考虑投标风险，投标截止期后，随意撤标、或因成交方原因,成交后不签合同、或签订合同后不能按期交货，采购人将限时取消其投标（报价）资格，并要求其赔偿损失。</w:t>
      </w:r>
    </w:p>
    <w:p>
      <w:pPr>
        <w:shd w:val="clear"/>
        <w:spacing w:line="560" w:lineRule="exact"/>
        <w:ind w:firstLine="640" w:firstLineChars="200"/>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5、本次采购为网上进行，供应商填报价格时需保存后再提交，并可在开标后24小时内，进入开标室查询报价情况，不需要提交纸质报价单。报价有效期：响应文件截止日期起90个有效工作日。</w:t>
      </w:r>
    </w:p>
    <w:p>
      <w:pPr>
        <w:shd w:val="clear"/>
        <w:spacing w:line="560" w:lineRule="exact"/>
        <w:ind w:firstLine="640" w:firstLineChars="200"/>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6、本次报价要求缴纳标书费，标书一经售出，标书费不退还。</w:t>
      </w:r>
    </w:p>
    <w:p>
      <w:pPr>
        <w:shd w:val="clear"/>
        <w:spacing w:line="560" w:lineRule="exact"/>
        <w:ind w:firstLine="640" w:firstLineChars="200"/>
        <w:rPr>
          <w:rFonts w:hint="default" w:ascii="仿宋_GB2312" w:hAnsi="仿宋_GB2312" w:eastAsia="仿宋_GB2312" w:cs="仿宋_GB2312"/>
          <w:b w:val="0"/>
          <w:bCs w:val="0"/>
          <w:color w:val="auto"/>
          <w:sz w:val="32"/>
          <w:szCs w:val="32"/>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C7495F"/>
    <w:rsid w:val="018C1026"/>
    <w:rsid w:val="020A6F0D"/>
    <w:rsid w:val="025119E1"/>
    <w:rsid w:val="026D2595"/>
    <w:rsid w:val="041D4945"/>
    <w:rsid w:val="043164D2"/>
    <w:rsid w:val="043D173C"/>
    <w:rsid w:val="05967EAB"/>
    <w:rsid w:val="065909B9"/>
    <w:rsid w:val="09B22E25"/>
    <w:rsid w:val="0A323C17"/>
    <w:rsid w:val="0B236A84"/>
    <w:rsid w:val="0B9461B7"/>
    <w:rsid w:val="0BE5009B"/>
    <w:rsid w:val="0CCE2684"/>
    <w:rsid w:val="0E990BD1"/>
    <w:rsid w:val="0F0B629B"/>
    <w:rsid w:val="10B86F09"/>
    <w:rsid w:val="11034834"/>
    <w:rsid w:val="115068AF"/>
    <w:rsid w:val="11DB114E"/>
    <w:rsid w:val="11E535B3"/>
    <w:rsid w:val="11EA31A1"/>
    <w:rsid w:val="12544DFE"/>
    <w:rsid w:val="131F269E"/>
    <w:rsid w:val="14176D4A"/>
    <w:rsid w:val="14E44E1E"/>
    <w:rsid w:val="186F4AA4"/>
    <w:rsid w:val="189654B5"/>
    <w:rsid w:val="1931505B"/>
    <w:rsid w:val="194E614A"/>
    <w:rsid w:val="1AAA4A14"/>
    <w:rsid w:val="1B6238D2"/>
    <w:rsid w:val="1B7232FE"/>
    <w:rsid w:val="1C7A3312"/>
    <w:rsid w:val="1CA16AFC"/>
    <w:rsid w:val="1F650612"/>
    <w:rsid w:val="20350672"/>
    <w:rsid w:val="20666F9D"/>
    <w:rsid w:val="209C262E"/>
    <w:rsid w:val="20F24EDB"/>
    <w:rsid w:val="21C84669"/>
    <w:rsid w:val="22232DAD"/>
    <w:rsid w:val="222A6186"/>
    <w:rsid w:val="22512369"/>
    <w:rsid w:val="236F4141"/>
    <w:rsid w:val="23CB7895"/>
    <w:rsid w:val="26EC617C"/>
    <w:rsid w:val="291557BC"/>
    <w:rsid w:val="2A125C76"/>
    <w:rsid w:val="2AC54605"/>
    <w:rsid w:val="2BC12EDC"/>
    <w:rsid w:val="2CC65012"/>
    <w:rsid w:val="2D3F381F"/>
    <w:rsid w:val="2D640A44"/>
    <w:rsid w:val="2D6550BD"/>
    <w:rsid w:val="2EC124B7"/>
    <w:rsid w:val="30006B65"/>
    <w:rsid w:val="30B468EE"/>
    <w:rsid w:val="30E74247"/>
    <w:rsid w:val="30FF0788"/>
    <w:rsid w:val="315C5A54"/>
    <w:rsid w:val="32C068D1"/>
    <w:rsid w:val="32C86AC4"/>
    <w:rsid w:val="32D059D3"/>
    <w:rsid w:val="33677ADA"/>
    <w:rsid w:val="34561FCB"/>
    <w:rsid w:val="34757528"/>
    <w:rsid w:val="3837055F"/>
    <w:rsid w:val="39A749F0"/>
    <w:rsid w:val="3B8D4B00"/>
    <w:rsid w:val="3D5965F7"/>
    <w:rsid w:val="3FE60C2B"/>
    <w:rsid w:val="40532211"/>
    <w:rsid w:val="4464224B"/>
    <w:rsid w:val="44E30329"/>
    <w:rsid w:val="458D033D"/>
    <w:rsid w:val="462768A3"/>
    <w:rsid w:val="463E1CD8"/>
    <w:rsid w:val="46EF386D"/>
    <w:rsid w:val="47746355"/>
    <w:rsid w:val="478A63DB"/>
    <w:rsid w:val="4834550F"/>
    <w:rsid w:val="4B697165"/>
    <w:rsid w:val="4C81575C"/>
    <w:rsid w:val="4D3D4473"/>
    <w:rsid w:val="4E1C7B87"/>
    <w:rsid w:val="505245D1"/>
    <w:rsid w:val="510C48CD"/>
    <w:rsid w:val="520E3420"/>
    <w:rsid w:val="54240DC1"/>
    <w:rsid w:val="54C70A43"/>
    <w:rsid w:val="55B26CFB"/>
    <w:rsid w:val="55B67BCF"/>
    <w:rsid w:val="57E14330"/>
    <w:rsid w:val="59244D24"/>
    <w:rsid w:val="5A072B2D"/>
    <w:rsid w:val="5A1808ED"/>
    <w:rsid w:val="5A88613C"/>
    <w:rsid w:val="5A9D1B3D"/>
    <w:rsid w:val="5AE818D1"/>
    <w:rsid w:val="5C987B6C"/>
    <w:rsid w:val="5CA55681"/>
    <w:rsid w:val="5DC72F5D"/>
    <w:rsid w:val="5EF51F99"/>
    <w:rsid w:val="5F656DCD"/>
    <w:rsid w:val="5F8C1C6A"/>
    <w:rsid w:val="5FB611D9"/>
    <w:rsid w:val="60B12A38"/>
    <w:rsid w:val="62467A9F"/>
    <w:rsid w:val="62F61A69"/>
    <w:rsid w:val="63745244"/>
    <w:rsid w:val="674E64E6"/>
    <w:rsid w:val="68174176"/>
    <w:rsid w:val="6A3B332B"/>
    <w:rsid w:val="6A426F9D"/>
    <w:rsid w:val="6BF723BE"/>
    <w:rsid w:val="6C480E82"/>
    <w:rsid w:val="6E0104C3"/>
    <w:rsid w:val="70051A48"/>
    <w:rsid w:val="702E0533"/>
    <w:rsid w:val="71953DC3"/>
    <w:rsid w:val="727015CB"/>
    <w:rsid w:val="72AA1551"/>
    <w:rsid w:val="73854804"/>
    <w:rsid w:val="74940525"/>
    <w:rsid w:val="75A55848"/>
    <w:rsid w:val="75D717F3"/>
    <w:rsid w:val="76117211"/>
    <w:rsid w:val="77321B45"/>
    <w:rsid w:val="789733F2"/>
    <w:rsid w:val="79D332AA"/>
    <w:rsid w:val="7AA20FBA"/>
    <w:rsid w:val="7B0427B6"/>
    <w:rsid w:val="7B9235E1"/>
    <w:rsid w:val="7B9530BD"/>
    <w:rsid w:val="7D5A7B79"/>
    <w:rsid w:val="7DE31061"/>
    <w:rsid w:val="7EC87476"/>
    <w:rsid w:val="7F316082"/>
    <w:rsid w:val="7F7213E2"/>
    <w:rsid w:val="7FFE3F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kern w:val="0"/>
      <w:sz w:val="20"/>
      <w:szCs w:val="20"/>
    </w:rPr>
  </w:style>
  <w:style w:type="character" w:customStyle="1" w:styleId="5">
    <w:name w:val="NormalCharacter"/>
    <w:semiHidden/>
    <w:qFormat/>
    <w:uiPriority w:val="0"/>
    <w:rPr>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2</TotalTime>
  <ScaleCrop>false</ScaleCrop>
  <LinksUpToDate>false</LinksUpToDate>
  <CharactersWithSpaces>0</CharactersWithSpaces>
  <Application>WPS Office_11.8.2.12307_F1E327BC-269C-435d-A152-05C5408002CA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2025-01-16T08:47:00Z</dcterms:created>
  <dc:creator>Administrator</dc:creator>
  <cp:lastModifiedBy>Administrator</cp:lastModifiedBy>
  <cp:lastPrinted>2025-03-21T07:21:00Z</cp:lastPrinted>
  <dcterms:modified xsi:type="dcterms:W3CDTF">2026-07-30T08:32:38Z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2052-11.8.2.12307</vt:lpwstr>
  </property>
  <property fmtid="{D5CDD505-2E9C-101B-9397-08002B2CF9AE}" pid="3" name="ICV">
    <vt:lpwstr>D32CEFC94C514DC598A6BC500CAEB2DE</vt:lpwstr>
  </property>
</Properties>
</file>