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inorEastAsia" w:hAnsiTheme="minorEastAsia" w:eastAsiaTheme="minorEastAsia" w:cstheme="minorEastAsia"/>
          <w:b w:val="0"/>
          <w:bCs w:val="0"/>
          <w:color w:val="auto"/>
          <w:sz w:val="32"/>
          <w:szCs w:val="32"/>
          <w:lang w:val="en-US" w:eastAsia="zh-CN"/>
        </w:rPr>
      </w:pPr>
      <w:r>
        <w:rPr>
          <w:rFonts w:hint="eastAsia" w:asciiTheme="minorEastAsia" w:hAnsiTheme="minorEastAsia" w:cstheme="minorEastAsia"/>
          <w:b w:val="0"/>
          <w:bCs w:val="0"/>
          <w:color w:val="auto"/>
          <w:sz w:val="32"/>
          <w:szCs w:val="32"/>
          <w:lang w:val="en-US" w:eastAsia="zh-CN"/>
        </w:rPr>
        <w:t>合同主要条款（本部）</w:t>
      </w:r>
    </w:p>
    <w:p>
      <w:pPr>
        <w:autoSpaceDE w:val="0"/>
        <w:autoSpaceDN w:val="0"/>
        <w:adjustRightInd w:val="0"/>
        <w:spacing w:line="320" w:lineRule="exact"/>
        <w:jc w:val="left"/>
        <w:rPr>
          <w:rFonts w:ascii="宋体" w:hAnsi="宋体" w:cs="AdobeSongStd-Light,Bold"/>
          <w:bCs/>
          <w:color w:val="auto"/>
          <w:kern w:val="0"/>
          <w:szCs w:val="21"/>
        </w:rPr>
      </w:pPr>
      <w:r>
        <w:rPr>
          <w:rFonts w:hint="eastAsia" w:ascii="宋体" w:hAnsi="宋体" w:cs="AdobeSongStd-Light,Bold"/>
          <w:bCs/>
          <w:color w:val="auto"/>
          <w:kern w:val="0"/>
          <w:szCs w:val="21"/>
          <w:lang w:val="en-US" w:eastAsia="zh-CN"/>
        </w:rPr>
        <w:t>一</w:t>
      </w:r>
      <w:r>
        <w:rPr>
          <w:rFonts w:hint="eastAsia" w:ascii="宋体" w:hAnsi="宋体" w:cs="AdobeSongStd-Light,Bold"/>
          <w:bCs/>
          <w:color w:val="auto"/>
          <w:kern w:val="0"/>
          <w:szCs w:val="21"/>
        </w:rPr>
        <w:t>、质量</w:t>
      </w:r>
    </w:p>
    <w:p>
      <w:pPr>
        <w:autoSpaceDE w:val="0"/>
        <w:autoSpaceDN w:val="0"/>
        <w:adjustRightInd w:val="0"/>
        <w:spacing w:line="320" w:lineRule="exact"/>
        <w:jc w:val="left"/>
        <w:rPr>
          <w:rFonts w:ascii="宋体" w:hAnsi="宋体" w:cs="AdobeSongStd-Light,Bold"/>
          <w:bCs/>
          <w:color w:val="auto"/>
          <w:kern w:val="0"/>
          <w:szCs w:val="21"/>
        </w:rPr>
      </w:pPr>
      <w:r>
        <w:rPr>
          <w:rFonts w:hint="eastAsia" w:ascii="宋体" w:hAnsi="宋体" w:cs="AdobeSongStd-Light,Bold"/>
          <w:bCs/>
          <w:color w:val="auto"/>
          <w:kern w:val="0"/>
          <w:szCs w:val="21"/>
        </w:rPr>
        <w:t>（一）质量要求</w:t>
      </w:r>
    </w:p>
    <w:p>
      <w:pPr>
        <w:autoSpaceDE w:val="0"/>
        <w:autoSpaceDN w:val="0"/>
        <w:adjustRightInd w:val="0"/>
        <w:spacing w:line="320" w:lineRule="exact"/>
        <w:jc w:val="left"/>
        <w:rPr>
          <w:rFonts w:hint="eastAsia" w:ascii="宋体" w:hAnsi="宋体" w:cs="AdobeSongStd-Light,Bold"/>
          <w:bCs/>
          <w:color w:val="auto"/>
          <w:kern w:val="0"/>
          <w:szCs w:val="21"/>
          <w:lang w:val="en-US" w:eastAsia="zh-CN"/>
        </w:rPr>
      </w:pPr>
      <w:r>
        <w:rPr>
          <w:rFonts w:hint="eastAsia" w:ascii="宋体" w:hAnsi="宋体" w:cs="AdobeSongStd-Light,Bold"/>
          <w:bCs/>
          <w:color w:val="auto"/>
          <w:kern w:val="0"/>
          <w:szCs w:val="21"/>
          <w:lang w:val="en-US" w:eastAsia="zh-CN"/>
        </w:rPr>
        <w:t>产品质量要求详见合同附页物料技术属性描述中的物料长描述，并满足现场使用要求，在有效期内，卖方对产品质量负责。</w:t>
      </w:r>
    </w:p>
    <w:p>
      <w:pPr>
        <w:numPr>
          <w:ilvl w:val="0"/>
          <w:numId w:val="1"/>
        </w:numPr>
        <w:autoSpaceDE w:val="0"/>
        <w:autoSpaceDN w:val="0"/>
        <w:adjustRightInd w:val="0"/>
        <w:spacing w:line="320" w:lineRule="exact"/>
        <w:jc w:val="left"/>
        <w:rPr>
          <w:rFonts w:hint="eastAsia" w:ascii="宋体" w:hAnsi="宋体" w:cs="AdobeSongStd-Light,Bold"/>
          <w:bCs/>
          <w:color w:val="auto"/>
          <w:kern w:val="0"/>
          <w:szCs w:val="21"/>
        </w:rPr>
      </w:pPr>
      <w:r>
        <w:rPr>
          <w:rFonts w:hint="eastAsia" w:ascii="宋体" w:hAnsi="宋体" w:cs="AdobeSongStd-Light,Bold"/>
          <w:bCs/>
          <w:color w:val="auto"/>
          <w:kern w:val="0"/>
          <w:szCs w:val="21"/>
        </w:rPr>
        <w:t>质量加减价：无。</w:t>
      </w:r>
    </w:p>
    <w:p>
      <w:pPr>
        <w:autoSpaceDE w:val="0"/>
        <w:autoSpaceDN w:val="0"/>
        <w:adjustRightInd w:val="0"/>
        <w:spacing w:line="320" w:lineRule="exact"/>
        <w:jc w:val="left"/>
        <w:rPr>
          <w:rFonts w:ascii="宋体" w:hAnsi="宋体" w:cs="AdobeSongStd-Light,Bold"/>
          <w:bCs/>
          <w:color w:val="auto"/>
          <w:kern w:val="0"/>
          <w:szCs w:val="21"/>
        </w:rPr>
      </w:pPr>
      <w:r>
        <w:rPr>
          <w:rFonts w:hint="eastAsia" w:ascii="宋体" w:hAnsi="宋体" w:cs="AdobeSongStd-Light,Bold"/>
          <w:bCs/>
          <w:color w:val="auto"/>
          <w:kern w:val="0"/>
          <w:szCs w:val="21"/>
          <w:lang w:val="en-US" w:eastAsia="zh-CN"/>
        </w:rPr>
        <w:t>二</w:t>
      </w:r>
      <w:r>
        <w:rPr>
          <w:rFonts w:hint="eastAsia" w:ascii="宋体" w:hAnsi="宋体" w:cs="AdobeSongStd-Light,Bold"/>
          <w:bCs/>
          <w:color w:val="auto"/>
          <w:kern w:val="0"/>
          <w:szCs w:val="21"/>
        </w:rPr>
        <w:t>、供货要求</w:t>
      </w:r>
    </w:p>
    <w:p>
      <w:pPr>
        <w:autoSpaceDE w:val="0"/>
        <w:autoSpaceDN w:val="0"/>
        <w:adjustRightInd w:val="0"/>
        <w:spacing w:line="320" w:lineRule="exact"/>
        <w:jc w:val="left"/>
        <w:rPr>
          <w:rFonts w:hint="eastAsia" w:ascii="宋体" w:hAnsi="宋体" w:cs="AdobeSongStd-Light,Bold"/>
          <w:bCs/>
          <w:color w:val="auto"/>
          <w:kern w:val="0"/>
          <w:szCs w:val="21"/>
          <w:lang w:val="en-US" w:eastAsia="zh-CN"/>
        </w:rPr>
      </w:pPr>
      <w:r>
        <w:rPr>
          <w:rFonts w:hint="eastAsia" w:ascii="宋体" w:hAnsi="宋体" w:cs="AdobeSongStd-Light,Bold"/>
          <w:bCs/>
          <w:color w:val="auto"/>
          <w:kern w:val="0"/>
          <w:szCs w:val="21"/>
          <w:lang w:val="en-US" w:eastAsia="zh-CN"/>
        </w:rPr>
        <w:t>（一）在合同交货期内,卖方需按时、按质、按量(或按买方通知)送货，不得超发，否则买方可拒收或不予结算。（二）随车附产品质量保证书，供合同规定的生产制造厂产品，随货提供生产制造厂出具的出库或合格证等能够证明所供产品为该生产厂生产制造产品的文件或资料。（三）买方根据生产变化有权对合同的交货时间、数量进行调整。（四）运输车辆为新能源或达到国VI</w:t>
      </w:r>
      <w:bookmarkStart w:id="0" w:name="_GoBack"/>
      <w:bookmarkEnd w:id="0"/>
      <w:r>
        <w:rPr>
          <w:rFonts w:hint="eastAsia" w:ascii="宋体" w:hAnsi="宋体" w:cs="AdobeSongStd-Light,Bold"/>
          <w:bCs/>
          <w:color w:val="auto"/>
          <w:kern w:val="0"/>
          <w:szCs w:val="21"/>
          <w:lang w:val="en-US" w:eastAsia="zh-CN"/>
        </w:rPr>
        <w:t>及以上。</w:t>
      </w:r>
    </w:p>
    <w:p>
      <w:pPr>
        <w:tabs>
          <w:tab w:val="left" w:pos="0"/>
        </w:tabs>
        <w:autoSpaceDE w:val="0"/>
        <w:autoSpaceDN w:val="0"/>
        <w:adjustRightInd w:val="0"/>
        <w:spacing w:line="276" w:lineRule="auto"/>
        <w:rPr>
          <w:rFonts w:hint="default" w:ascii="宋体" w:hAnsi="宋体" w:cs="AdobeSongStd-Light,Bold"/>
          <w:bCs/>
          <w:color w:val="auto"/>
          <w:kern w:val="0"/>
          <w:szCs w:val="21"/>
          <w:lang w:val="en-US"/>
        </w:rPr>
      </w:pPr>
      <w:r>
        <w:rPr>
          <w:rFonts w:hint="eastAsia" w:ascii="宋体" w:hAnsi="宋体" w:cs="AdobeSongStd-Light,Bold"/>
          <w:bCs/>
          <w:color w:val="auto"/>
          <w:kern w:val="0"/>
          <w:szCs w:val="21"/>
          <w:lang w:val="en-US" w:eastAsia="zh-CN"/>
        </w:rPr>
        <w:t>三</w:t>
      </w:r>
      <w:r>
        <w:rPr>
          <w:rFonts w:hint="eastAsia" w:ascii="宋体" w:hAnsi="宋体" w:cs="AdobeSongStd-Light,Bold"/>
          <w:bCs/>
          <w:color w:val="auto"/>
          <w:kern w:val="0"/>
          <w:szCs w:val="21"/>
        </w:rPr>
        <w:t>、交（提）货地点及方式（包含收货单位）：</w:t>
      </w:r>
      <w:r>
        <w:rPr>
          <w:rFonts w:hint="eastAsia" w:ascii="宋体" w:hAnsi="宋体" w:cs="AdobeSongStd-Light,Bold"/>
          <w:bCs/>
          <w:color w:val="auto"/>
          <w:kern w:val="0"/>
          <w:szCs w:val="21"/>
          <w:lang w:val="en-US" w:eastAsia="zh-CN"/>
        </w:rPr>
        <w:t>四川省攀枝花市仁和区彩虹路482号攀钢熔盐氯化钛白6万吨库房。</w:t>
      </w:r>
    </w:p>
    <w:p>
      <w:pPr>
        <w:autoSpaceDE w:val="0"/>
        <w:autoSpaceDN w:val="0"/>
        <w:adjustRightInd w:val="0"/>
        <w:spacing w:line="320" w:lineRule="exact"/>
        <w:jc w:val="left"/>
        <w:rPr>
          <w:rFonts w:ascii="宋体" w:hAnsi="宋体" w:cs="AdobeSongStd-Light,Bold"/>
          <w:bCs/>
          <w:color w:val="auto"/>
          <w:kern w:val="0"/>
          <w:szCs w:val="21"/>
        </w:rPr>
      </w:pPr>
      <w:r>
        <w:rPr>
          <w:rFonts w:hint="eastAsia" w:ascii="宋体" w:hAnsi="宋体" w:cs="AdobeSongStd-Light,Bold"/>
          <w:bCs/>
          <w:color w:val="auto"/>
          <w:kern w:val="0"/>
          <w:szCs w:val="21"/>
          <w:lang w:val="en-US" w:eastAsia="zh-CN"/>
        </w:rPr>
        <w:t>四</w:t>
      </w:r>
      <w:r>
        <w:rPr>
          <w:rFonts w:hint="eastAsia" w:ascii="宋体" w:hAnsi="宋体" w:cs="AdobeSongStd-Light,Bold"/>
          <w:bCs/>
          <w:color w:val="auto"/>
          <w:kern w:val="0"/>
          <w:szCs w:val="21"/>
        </w:rPr>
        <w:t>、运输方式及费用负担</w:t>
      </w:r>
    </w:p>
    <w:p>
      <w:pPr>
        <w:autoSpaceDE w:val="0"/>
        <w:autoSpaceDN w:val="0"/>
        <w:adjustRightInd w:val="0"/>
        <w:spacing w:line="320" w:lineRule="exact"/>
        <w:jc w:val="left"/>
        <w:rPr>
          <w:rFonts w:ascii="宋体" w:hAnsi="宋体" w:cs="AdobeSongStd-Light,Bold"/>
          <w:bCs/>
          <w:color w:val="auto"/>
          <w:kern w:val="0"/>
          <w:szCs w:val="21"/>
        </w:rPr>
      </w:pPr>
      <w:r>
        <w:rPr>
          <w:rFonts w:hint="eastAsia" w:ascii="宋体" w:hAnsi="宋体" w:cs="AdobeSongStd-Light,Bold"/>
          <w:bCs/>
          <w:color w:val="auto"/>
          <w:kern w:val="0"/>
          <w:szCs w:val="21"/>
        </w:rPr>
        <w:t xml:space="preserve">（一）运输方式 </w:t>
      </w:r>
      <w:r>
        <w:rPr>
          <w:rFonts w:hint="eastAsia" w:ascii="宋体" w:hAnsi="宋体" w:eastAsia="宋体" w:cs="AdobeSongStd-Light,Bold"/>
          <w:bCs/>
          <w:color w:val="auto"/>
          <w:kern w:val="0"/>
          <w:szCs w:val="21"/>
          <w:lang w:val="en-US" w:eastAsia="zh-CN"/>
        </w:rPr>
        <w:t>混合运输</w:t>
      </w:r>
      <w:r>
        <w:rPr>
          <w:rFonts w:hint="eastAsia" w:ascii="宋体" w:hAnsi="宋体" w:cs="AdobeSongStd-Light,Bold"/>
          <w:bCs/>
          <w:color w:val="auto"/>
          <w:kern w:val="0"/>
          <w:szCs w:val="21"/>
        </w:rPr>
        <w:t>。</w:t>
      </w:r>
    </w:p>
    <w:p>
      <w:pPr>
        <w:rPr>
          <w:rFonts w:ascii="宋体" w:hAnsi="宋体" w:cs="AdobeSongStd-Light,Bold"/>
          <w:bCs/>
          <w:color w:val="auto"/>
          <w:kern w:val="0"/>
          <w:szCs w:val="21"/>
        </w:rPr>
      </w:pPr>
      <w:r>
        <w:rPr>
          <w:rFonts w:hint="eastAsia" w:ascii="宋体" w:hAnsi="宋体" w:cs="AdobeSongStd-Light,Bold"/>
          <w:bCs/>
          <w:color w:val="auto"/>
          <w:kern w:val="0"/>
          <w:szCs w:val="21"/>
        </w:rPr>
        <w:t>（二）费用负担</w:t>
      </w:r>
      <w:r>
        <w:rPr>
          <w:rFonts w:ascii="宋体" w:hAnsi="宋体" w:cs="AdobeSongStd-Light,Bold"/>
          <w:bCs/>
          <w:color w:val="auto"/>
          <w:kern w:val="0"/>
          <w:szCs w:val="21"/>
        </w:rPr>
        <w:t xml:space="preserve"> </w:t>
      </w:r>
      <w:r>
        <w:rPr>
          <w:rFonts w:hint="eastAsia"/>
          <w:color w:val="auto"/>
        </w:rPr>
        <w:t>实行包到价，运杂费及其他一切费用均由卖方承担</w:t>
      </w:r>
      <w:r>
        <w:rPr>
          <w:rFonts w:hint="eastAsia"/>
          <w:color w:val="auto"/>
          <w:lang w:eastAsia="zh-CN"/>
        </w:rPr>
        <w:t>。</w:t>
      </w:r>
    </w:p>
    <w:p>
      <w:pPr>
        <w:autoSpaceDE w:val="0"/>
        <w:autoSpaceDN w:val="0"/>
        <w:adjustRightInd w:val="0"/>
        <w:spacing w:line="320" w:lineRule="exact"/>
        <w:jc w:val="left"/>
        <w:rPr>
          <w:rFonts w:ascii="宋体" w:hAnsi="宋体" w:cs="AdobeSongStd-Light,Bold"/>
          <w:bCs/>
          <w:color w:val="auto"/>
          <w:kern w:val="0"/>
          <w:szCs w:val="21"/>
        </w:rPr>
      </w:pPr>
      <w:r>
        <w:rPr>
          <w:rFonts w:hint="eastAsia" w:ascii="宋体" w:hAnsi="宋体" w:cs="AdobeSongStd-Light,Bold"/>
          <w:bCs/>
          <w:color w:val="auto"/>
          <w:kern w:val="0"/>
          <w:szCs w:val="21"/>
          <w:lang w:val="en-US" w:eastAsia="zh-CN"/>
        </w:rPr>
        <w:t>五</w:t>
      </w:r>
      <w:r>
        <w:rPr>
          <w:rFonts w:hint="eastAsia" w:ascii="宋体" w:hAnsi="宋体" w:cs="AdobeSongStd-Light,Bold"/>
          <w:bCs/>
          <w:color w:val="auto"/>
          <w:kern w:val="0"/>
          <w:szCs w:val="21"/>
        </w:rPr>
        <w:t>、合理损耗及计算方式：</w:t>
      </w:r>
      <w:r>
        <w:rPr>
          <w:rFonts w:ascii="宋体" w:hAnsi="宋体" w:cs="AdobeSongStd-Light,Bold"/>
          <w:bCs/>
          <w:color w:val="auto"/>
          <w:kern w:val="0"/>
          <w:szCs w:val="21"/>
        </w:rPr>
        <w:t>一切损耗均由卖方承担。</w:t>
      </w:r>
    </w:p>
    <w:p>
      <w:pPr>
        <w:autoSpaceDE w:val="0"/>
        <w:autoSpaceDN w:val="0"/>
        <w:adjustRightInd w:val="0"/>
        <w:spacing w:line="320" w:lineRule="exact"/>
        <w:jc w:val="left"/>
        <w:rPr>
          <w:rFonts w:hint="eastAsia" w:ascii="宋体" w:hAnsi="宋体" w:cs="AdobeSongStd-Light,Bold"/>
          <w:bCs/>
          <w:color w:val="auto"/>
          <w:kern w:val="0"/>
          <w:szCs w:val="21"/>
        </w:rPr>
      </w:pPr>
      <w:r>
        <w:rPr>
          <w:rFonts w:hint="eastAsia" w:ascii="宋体" w:hAnsi="宋体" w:cs="AdobeSongStd-Light,Bold"/>
          <w:bCs/>
          <w:color w:val="auto"/>
          <w:kern w:val="0"/>
          <w:szCs w:val="21"/>
          <w:lang w:val="en-US" w:eastAsia="zh-CN"/>
        </w:rPr>
        <w:t>六</w:t>
      </w:r>
      <w:r>
        <w:rPr>
          <w:rFonts w:hint="eastAsia" w:ascii="宋体" w:hAnsi="宋体" w:cs="AdobeSongStd-Light,Bold"/>
          <w:bCs/>
          <w:color w:val="auto"/>
          <w:kern w:val="0"/>
          <w:szCs w:val="21"/>
        </w:rPr>
        <w:t>、包装标准及包装物的供应回收</w:t>
      </w:r>
    </w:p>
    <w:p>
      <w:pPr>
        <w:autoSpaceDE w:val="0"/>
        <w:autoSpaceDN w:val="0"/>
        <w:adjustRightInd w:val="0"/>
        <w:spacing w:line="320" w:lineRule="exact"/>
        <w:jc w:val="left"/>
        <w:rPr>
          <w:rFonts w:hint="eastAsia" w:ascii="宋体" w:hAnsi="宋体" w:cs="AdobeSongStd-Light,Bold"/>
          <w:bCs/>
          <w:color w:val="auto"/>
          <w:kern w:val="0"/>
          <w:szCs w:val="21"/>
          <w:lang w:val="en-US" w:eastAsia="zh-CN"/>
        </w:rPr>
      </w:pPr>
      <w:r>
        <w:rPr>
          <w:rFonts w:hint="eastAsia" w:ascii="宋体" w:hAnsi="宋体" w:cs="AdobeSongStd-Light,Bold"/>
          <w:bCs/>
          <w:color w:val="auto"/>
          <w:kern w:val="0"/>
          <w:szCs w:val="21"/>
          <w:lang w:val="en-US" w:eastAsia="zh-CN"/>
        </w:rPr>
        <w:t>1、包装应符合运输要求及相应环保标准。包装物上须标识产品名称、规格型号、生产厂家和数量（净重、毛重）、生产日期等。2、包装物不回收。</w:t>
      </w:r>
    </w:p>
    <w:p>
      <w:pPr>
        <w:autoSpaceDE w:val="0"/>
        <w:autoSpaceDN w:val="0"/>
        <w:adjustRightInd w:val="0"/>
        <w:spacing w:line="320" w:lineRule="exact"/>
        <w:jc w:val="left"/>
        <w:rPr>
          <w:rFonts w:ascii="宋体" w:hAnsi="宋体" w:cs="AdobeSongStd-Light,Bold"/>
          <w:bCs/>
          <w:color w:val="auto"/>
          <w:kern w:val="0"/>
          <w:szCs w:val="21"/>
        </w:rPr>
      </w:pPr>
      <w:r>
        <w:rPr>
          <w:rFonts w:hint="eastAsia" w:ascii="宋体" w:hAnsi="宋体" w:cs="AdobeSongStd-Light,Bold"/>
          <w:bCs/>
          <w:color w:val="auto"/>
          <w:kern w:val="0"/>
          <w:szCs w:val="21"/>
          <w:lang w:val="en-US" w:eastAsia="zh-CN"/>
        </w:rPr>
        <w:t>七</w:t>
      </w:r>
      <w:r>
        <w:rPr>
          <w:rFonts w:hint="eastAsia" w:ascii="宋体" w:hAnsi="宋体" w:cs="AdobeSongStd-Light,Bold"/>
          <w:bCs/>
          <w:color w:val="auto"/>
          <w:kern w:val="0"/>
          <w:szCs w:val="21"/>
        </w:rPr>
        <w:t>、验收及异议处理</w:t>
      </w:r>
    </w:p>
    <w:p>
      <w:pPr>
        <w:autoSpaceDE w:val="0"/>
        <w:autoSpaceDN w:val="0"/>
        <w:adjustRightInd w:val="0"/>
        <w:spacing w:line="320" w:lineRule="exact"/>
        <w:jc w:val="left"/>
        <w:rPr>
          <w:rFonts w:hint="eastAsia" w:ascii="宋体" w:hAnsi="宋体" w:eastAsia="宋体" w:cs="AdobeSongStd-Light,Bold"/>
          <w:bCs/>
          <w:color w:val="auto"/>
          <w:kern w:val="0"/>
          <w:szCs w:val="21"/>
        </w:rPr>
      </w:pPr>
      <w:r>
        <w:rPr>
          <w:rFonts w:hint="eastAsia" w:ascii="宋体" w:hAnsi="宋体" w:eastAsia="宋体" w:cs="AdobeSongStd-Light,Bold"/>
          <w:bCs/>
          <w:color w:val="auto"/>
          <w:kern w:val="0"/>
          <w:szCs w:val="21"/>
        </w:rPr>
        <w:t>1、买方按明细执行标准验收。2、质量验收：外观验收或抽样检验。3、数量验收方法：经买方计量为准。4</w:t>
      </w:r>
      <w:r>
        <w:rPr>
          <w:rFonts w:hint="eastAsia" w:ascii="宋体" w:hAnsi="宋体" w:eastAsia="宋体" w:cs="AdobeSongStd-Light,Bold"/>
          <w:bCs/>
          <w:color w:val="auto"/>
          <w:kern w:val="0"/>
          <w:szCs w:val="21"/>
          <w:lang w:eastAsia="zh-CN"/>
        </w:rPr>
        <w:t>、</w:t>
      </w:r>
      <w:r>
        <w:rPr>
          <w:rFonts w:hint="eastAsia" w:ascii="宋体" w:hAnsi="宋体" w:eastAsia="宋体" w:cs="AdobeSongStd-Light,Bold"/>
          <w:bCs/>
          <w:color w:val="auto"/>
          <w:kern w:val="0"/>
          <w:szCs w:val="21"/>
        </w:rPr>
        <w:t>买方验收发现产品质量问题通知卖方及时来人处理，经双方确认属卖方质量问题的卖方负责退换。</w:t>
      </w:r>
    </w:p>
    <w:p>
      <w:pPr>
        <w:autoSpaceDE w:val="0"/>
        <w:autoSpaceDN w:val="0"/>
        <w:adjustRightInd w:val="0"/>
        <w:spacing w:line="320" w:lineRule="exact"/>
        <w:jc w:val="left"/>
        <w:rPr>
          <w:rFonts w:ascii="宋体" w:hAnsi="宋体" w:cs="AdobeSongStd-Light,Bold"/>
          <w:bCs/>
          <w:color w:val="auto"/>
          <w:kern w:val="0"/>
          <w:szCs w:val="21"/>
        </w:rPr>
      </w:pPr>
      <w:r>
        <w:rPr>
          <w:rFonts w:hint="eastAsia" w:ascii="宋体" w:hAnsi="宋体" w:cs="AdobeSongStd-Light,Bold"/>
          <w:bCs/>
          <w:color w:val="auto"/>
          <w:kern w:val="0"/>
          <w:szCs w:val="21"/>
          <w:lang w:val="en-US" w:eastAsia="zh-CN"/>
        </w:rPr>
        <w:t>八、</w:t>
      </w:r>
      <w:r>
        <w:rPr>
          <w:rFonts w:ascii="宋体" w:hAnsi="宋体" w:cs="AdobeSongStd-Light,Bold"/>
          <w:bCs/>
          <w:color w:val="auto"/>
          <w:kern w:val="0"/>
          <w:szCs w:val="21"/>
        </w:rPr>
        <w:t>随机备品、配件工具数量及资料的提供</w:t>
      </w:r>
    </w:p>
    <w:p>
      <w:pPr>
        <w:autoSpaceDE w:val="0"/>
        <w:autoSpaceDN w:val="0"/>
        <w:adjustRightInd w:val="0"/>
        <w:spacing w:line="320" w:lineRule="exact"/>
        <w:jc w:val="left"/>
        <w:rPr>
          <w:rFonts w:ascii="宋体" w:hAnsi="宋体" w:cs="AdobeSongStd-Light,Bold"/>
          <w:bCs/>
          <w:color w:val="auto"/>
          <w:kern w:val="0"/>
          <w:szCs w:val="21"/>
        </w:rPr>
      </w:pPr>
      <w:r>
        <w:rPr>
          <w:rFonts w:ascii="宋体" w:hAnsi="宋体" w:cs="AdobeSongStd-Light,Bold"/>
          <w:bCs/>
          <w:color w:val="auto"/>
          <w:kern w:val="0"/>
          <w:szCs w:val="21"/>
        </w:rPr>
        <w:t>无。</w:t>
      </w:r>
    </w:p>
    <w:p>
      <w:pPr>
        <w:numPr>
          <w:ilvl w:val="0"/>
          <w:numId w:val="2"/>
        </w:numPr>
        <w:autoSpaceDE w:val="0"/>
        <w:autoSpaceDN w:val="0"/>
        <w:adjustRightInd w:val="0"/>
        <w:spacing w:line="320" w:lineRule="exact"/>
        <w:jc w:val="left"/>
        <w:rPr>
          <w:rFonts w:hint="eastAsia" w:ascii="宋体" w:hAnsi="宋体" w:cs="AdobeSongStd-Light,Bold"/>
          <w:bCs/>
          <w:color w:val="auto"/>
          <w:kern w:val="0"/>
          <w:szCs w:val="21"/>
          <w:lang w:val="en-US" w:eastAsia="zh-CN"/>
        </w:rPr>
      </w:pPr>
      <w:r>
        <w:rPr>
          <w:rFonts w:hint="eastAsia" w:ascii="宋体" w:hAnsi="宋体" w:cs="AdobeSongStd-Light,Bold"/>
          <w:bCs/>
          <w:color w:val="auto"/>
          <w:kern w:val="0"/>
          <w:szCs w:val="21"/>
          <w:lang w:val="en-US" w:eastAsia="zh-CN"/>
        </w:rPr>
        <w:t>保证金与保证金条款</w:t>
      </w:r>
    </w:p>
    <w:p>
      <w:pPr>
        <w:numPr>
          <w:ilvl w:val="0"/>
          <w:numId w:val="0"/>
        </w:numPr>
        <w:tabs>
          <w:tab w:val="left" w:pos="0"/>
        </w:tabs>
        <w:autoSpaceDE w:val="0"/>
        <w:autoSpaceDN w:val="0"/>
        <w:adjustRightInd w:val="0"/>
        <w:spacing w:line="276" w:lineRule="auto"/>
        <w:ind w:firstLine="420" w:firstLineChars="200"/>
        <w:rPr>
          <w:rFonts w:hint="default" w:ascii="宋体" w:hAnsi="宋体" w:cs="AdobeSongStd-Light,Bold"/>
          <w:bCs/>
          <w:color w:val="auto"/>
          <w:kern w:val="0"/>
          <w:szCs w:val="21"/>
          <w:lang w:val="en-US" w:eastAsia="zh-CN"/>
        </w:rPr>
      </w:pPr>
      <w:r>
        <w:rPr>
          <w:rFonts w:hint="default" w:ascii="宋体" w:hAnsi="宋体" w:cs="AdobeSongStd-Light,Bold"/>
          <w:bCs/>
          <w:color w:val="auto"/>
          <w:kern w:val="0"/>
          <w:szCs w:val="21"/>
          <w:lang w:val="en-US" w:eastAsia="zh-CN"/>
        </w:rPr>
        <w:t>1、合同含税总金额超过50万元、新进供应商按合同含税总金额的5%收取合同履约保证金，不足1000元按1000元收取。本次采购的物料符合“常规检验可以判定使用功能”的规定，不收取质量保证金。如合同发生违约扣款，违约扣款部分从合同履约保证金中扣除；合同全部履行完成后，保证金全额无息退还。2、合同含税总金额未超过50万元，不收取履约保证金；本次采购的物料符合“常规检验可以判定使用功能”的规定，不收取质量保证金。如发生合同违约扣款，违约扣款部分，参照按次收取的方式另行收取相应违约扣款。3、内部单位、战略采购、应急采购、上年度被评为A类的合格供应商不收取履约保证金和质量保证金。如发生合同违约扣款，违约扣款部分，参照按次收取的方式另行收取相应违约扣款。</w:t>
      </w:r>
    </w:p>
    <w:p>
      <w:pPr>
        <w:numPr>
          <w:ilvl w:val="0"/>
          <w:numId w:val="0"/>
        </w:numPr>
        <w:tabs>
          <w:tab w:val="left" w:pos="0"/>
        </w:tabs>
        <w:autoSpaceDE w:val="0"/>
        <w:autoSpaceDN w:val="0"/>
        <w:adjustRightInd w:val="0"/>
        <w:spacing w:line="276" w:lineRule="auto"/>
        <w:rPr>
          <w:rFonts w:hint="eastAsia" w:ascii="宋体" w:hAnsi="宋体" w:cs="AdobeSongStd-Light,Bold"/>
          <w:bCs/>
          <w:color w:val="auto"/>
          <w:kern w:val="0"/>
          <w:szCs w:val="21"/>
          <w:lang w:val="en-US" w:eastAsia="zh-CN"/>
        </w:rPr>
      </w:pPr>
      <w:r>
        <w:rPr>
          <w:rFonts w:hint="eastAsia" w:ascii="宋体" w:hAnsi="宋体" w:cs="AdobeSongStd-Light,Bold"/>
          <w:bCs/>
          <w:color w:val="auto"/>
          <w:kern w:val="0"/>
          <w:szCs w:val="21"/>
          <w:lang w:val="en-US" w:eastAsia="zh-CN"/>
        </w:rPr>
        <w:t>十、结算与支付</w:t>
      </w:r>
    </w:p>
    <w:p>
      <w:pPr>
        <w:autoSpaceDE w:val="0"/>
        <w:autoSpaceDN w:val="0"/>
        <w:adjustRightInd w:val="0"/>
        <w:spacing w:line="320" w:lineRule="exact"/>
        <w:jc w:val="left"/>
        <w:rPr>
          <w:rFonts w:hint="eastAsia" w:ascii="宋体" w:hAnsi="宋体" w:eastAsia="宋体" w:cs="AdobeSongStd-Light,Bold"/>
          <w:bCs/>
          <w:color w:val="auto"/>
          <w:kern w:val="0"/>
          <w:szCs w:val="21"/>
          <w:lang w:val="en-US" w:eastAsia="zh-CN"/>
        </w:rPr>
      </w:pPr>
      <w:r>
        <w:rPr>
          <w:rFonts w:hint="eastAsia" w:ascii="宋体" w:hAnsi="宋体" w:eastAsia="宋体" w:cs="AdobeSongStd-Light,Bold"/>
          <w:bCs/>
          <w:color w:val="auto"/>
          <w:kern w:val="0"/>
          <w:szCs w:val="21"/>
          <w:lang w:val="en-US" w:eastAsia="zh-CN"/>
        </w:rPr>
        <w:t>1.本合同标的物的定价基准为增值税发票挂账后30天，支付180天期限的银行承兑汇票。</w:t>
      </w:r>
    </w:p>
    <w:p>
      <w:pPr>
        <w:autoSpaceDE w:val="0"/>
        <w:autoSpaceDN w:val="0"/>
        <w:adjustRightInd w:val="0"/>
        <w:spacing w:line="320" w:lineRule="exact"/>
        <w:jc w:val="left"/>
        <w:rPr>
          <w:rFonts w:hint="eastAsia" w:ascii="宋体" w:hAnsi="宋体" w:eastAsia="宋体" w:cs="AdobeSongStd-Light,Bold"/>
          <w:bCs/>
          <w:color w:val="auto"/>
          <w:kern w:val="0"/>
          <w:szCs w:val="21"/>
          <w:lang w:val="en-US" w:eastAsia="zh-CN"/>
        </w:rPr>
      </w:pPr>
      <w:r>
        <w:rPr>
          <w:rFonts w:hint="eastAsia" w:ascii="宋体" w:hAnsi="宋体" w:eastAsia="宋体" w:cs="AdobeSongStd-Light,Bold"/>
          <w:bCs/>
          <w:color w:val="auto"/>
          <w:kern w:val="0"/>
          <w:szCs w:val="21"/>
          <w:lang w:val="en-US" w:eastAsia="zh-CN"/>
        </w:rPr>
        <w:t>2.以买方计量、质量验收结果作为结算依据，结算价格根据支付方式确定。</w:t>
      </w:r>
    </w:p>
    <w:p>
      <w:pPr>
        <w:autoSpaceDE w:val="0"/>
        <w:autoSpaceDN w:val="0"/>
        <w:adjustRightInd w:val="0"/>
        <w:spacing w:line="320" w:lineRule="exact"/>
        <w:jc w:val="left"/>
        <w:rPr>
          <w:rFonts w:hint="eastAsia" w:ascii="宋体" w:hAnsi="宋体" w:eastAsia="宋体" w:cs="AdobeSongStd-Light,Bold"/>
          <w:bCs/>
          <w:color w:val="auto"/>
          <w:kern w:val="0"/>
          <w:szCs w:val="21"/>
          <w:lang w:val="en-US" w:eastAsia="zh-CN"/>
        </w:rPr>
      </w:pPr>
      <w:r>
        <w:rPr>
          <w:rFonts w:hint="eastAsia" w:ascii="宋体" w:hAnsi="宋体" w:eastAsia="宋体" w:cs="AdobeSongStd-Light,Bold"/>
          <w:bCs/>
          <w:color w:val="auto"/>
          <w:kern w:val="0"/>
          <w:szCs w:val="21"/>
          <w:lang w:val="en-US" w:eastAsia="zh-CN"/>
        </w:rPr>
        <w:t>3.卖方在合同有效期内凭买方结算单开具增值税发票，发票备注栏须注明合同号。</w:t>
      </w:r>
    </w:p>
    <w:p>
      <w:pPr>
        <w:autoSpaceDE w:val="0"/>
        <w:autoSpaceDN w:val="0"/>
        <w:adjustRightInd w:val="0"/>
        <w:spacing w:line="320" w:lineRule="exact"/>
        <w:jc w:val="left"/>
        <w:rPr>
          <w:rFonts w:hint="eastAsia" w:ascii="宋体" w:hAnsi="宋体" w:eastAsia="宋体" w:cs="AdobeSongStd-Light,Bold"/>
          <w:bCs/>
          <w:color w:val="auto"/>
          <w:kern w:val="0"/>
          <w:szCs w:val="21"/>
          <w:lang w:val="en-US" w:eastAsia="zh-CN"/>
        </w:rPr>
      </w:pPr>
      <w:r>
        <w:rPr>
          <w:rFonts w:hint="eastAsia" w:ascii="宋体" w:hAnsi="宋体" w:eastAsia="宋体" w:cs="AdobeSongStd-Light,Bold"/>
          <w:bCs/>
          <w:color w:val="auto"/>
          <w:kern w:val="0"/>
          <w:szCs w:val="21"/>
          <w:lang w:val="en-US" w:eastAsia="zh-CN"/>
        </w:rPr>
        <w:t>4、标准化支付付款说明：</w:t>
      </w:r>
    </w:p>
    <w:p>
      <w:pPr>
        <w:autoSpaceDE w:val="0"/>
        <w:autoSpaceDN w:val="0"/>
        <w:adjustRightInd w:val="0"/>
        <w:spacing w:line="320" w:lineRule="exact"/>
        <w:jc w:val="left"/>
        <w:rPr>
          <w:rFonts w:hint="eastAsia" w:ascii="宋体" w:hAnsi="宋体" w:eastAsia="宋体" w:cs="AdobeSongStd-Light,Bold"/>
          <w:bCs/>
          <w:color w:val="auto"/>
          <w:kern w:val="0"/>
          <w:szCs w:val="21"/>
          <w:lang w:val="en-US" w:eastAsia="zh-CN"/>
        </w:rPr>
      </w:pPr>
      <w:r>
        <w:rPr>
          <w:rFonts w:hint="eastAsia" w:ascii="宋体" w:hAnsi="宋体" w:eastAsia="宋体" w:cs="AdobeSongStd-Light,Bold"/>
          <w:bCs/>
          <w:color w:val="auto"/>
          <w:kern w:val="0"/>
          <w:szCs w:val="21"/>
          <w:lang w:val="en-US" w:eastAsia="zh-CN"/>
        </w:rPr>
        <w:t>（1）实行先货后款，标准化支付。</w:t>
      </w:r>
    </w:p>
    <w:p>
      <w:pPr>
        <w:autoSpaceDE w:val="0"/>
        <w:autoSpaceDN w:val="0"/>
        <w:adjustRightInd w:val="0"/>
        <w:spacing w:line="320" w:lineRule="exact"/>
        <w:jc w:val="left"/>
        <w:rPr>
          <w:rFonts w:hint="eastAsia" w:ascii="宋体" w:hAnsi="宋体" w:eastAsia="宋体" w:cs="AdobeSongStd-Light,Bold"/>
          <w:bCs/>
          <w:color w:val="auto"/>
          <w:kern w:val="0"/>
          <w:szCs w:val="21"/>
          <w:lang w:val="en-US" w:eastAsia="zh-CN"/>
        </w:rPr>
      </w:pPr>
      <w:r>
        <w:rPr>
          <w:rFonts w:hint="eastAsia" w:ascii="宋体" w:hAnsi="宋体" w:eastAsia="宋体" w:cs="AdobeSongStd-Light,Bold"/>
          <w:bCs/>
          <w:color w:val="auto"/>
          <w:kern w:val="0"/>
          <w:szCs w:val="21"/>
          <w:lang w:val="en-US" w:eastAsia="zh-CN"/>
        </w:rPr>
        <w:t>（2）实际支付时间与合同约定时间差异±5个工作日免贴息，实际支付日与汇票到期日的差异天数与180天相比差异±30天免贴息，超出上述时限全时段按天计算贴息加减价。</w:t>
      </w:r>
    </w:p>
    <w:p>
      <w:pPr>
        <w:autoSpaceDE w:val="0"/>
        <w:autoSpaceDN w:val="0"/>
        <w:adjustRightInd w:val="0"/>
        <w:spacing w:line="320" w:lineRule="exact"/>
        <w:jc w:val="left"/>
        <w:rPr>
          <w:rFonts w:hint="eastAsia" w:ascii="宋体" w:hAnsi="宋体" w:eastAsia="宋体" w:cs="AdobeSongStd-Light,Bold"/>
          <w:bCs/>
          <w:color w:val="auto"/>
          <w:kern w:val="0"/>
          <w:szCs w:val="21"/>
          <w:lang w:val="en-US" w:eastAsia="zh-CN"/>
        </w:rPr>
      </w:pPr>
      <w:r>
        <w:rPr>
          <w:rFonts w:hint="eastAsia" w:ascii="宋体" w:hAnsi="宋体" w:eastAsia="宋体" w:cs="AdobeSongStd-Light,Bold"/>
          <w:bCs/>
          <w:color w:val="auto"/>
          <w:kern w:val="0"/>
          <w:szCs w:val="21"/>
          <w:lang w:val="en-US" w:eastAsia="zh-CN"/>
        </w:rPr>
        <w:t>（3）实际支付与结算方式的第1条不一致时，按照票据种类差异和时间差异按天结算贴息加减价。</w:t>
      </w:r>
    </w:p>
    <w:p>
      <w:pPr>
        <w:autoSpaceDE w:val="0"/>
        <w:autoSpaceDN w:val="0"/>
        <w:adjustRightInd w:val="0"/>
        <w:spacing w:line="320" w:lineRule="exact"/>
        <w:jc w:val="left"/>
        <w:rPr>
          <w:rFonts w:hint="eastAsia" w:ascii="宋体" w:hAnsi="宋体" w:eastAsia="宋体" w:cs="AdobeSongStd-Light,Bold"/>
          <w:bCs/>
          <w:color w:val="auto"/>
          <w:kern w:val="0"/>
          <w:szCs w:val="21"/>
          <w:lang w:val="en-US" w:eastAsia="zh-CN"/>
        </w:rPr>
      </w:pPr>
      <w:r>
        <w:rPr>
          <w:rFonts w:hint="eastAsia" w:ascii="宋体" w:hAnsi="宋体" w:eastAsia="宋体" w:cs="AdobeSongStd-Light,Bold"/>
          <w:bCs/>
          <w:color w:val="auto"/>
          <w:kern w:val="0"/>
          <w:szCs w:val="21"/>
          <w:lang w:val="en-US" w:eastAsia="zh-CN"/>
        </w:rPr>
        <w:t>（4）银票支付的尾差5万元以内（含5万元）用货币结清，免贴息。</w:t>
      </w:r>
    </w:p>
    <w:p>
      <w:pPr>
        <w:autoSpaceDE w:val="0"/>
        <w:autoSpaceDN w:val="0"/>
        <w:adjustRightInd w:val="0"/>
        <w:spacing w:line="320" w:lineRule="exact"/>
        <w:jc w:val="left"/>
        <w:rPr>
          <w:rFonts w:hint="eastAsia" w:ascii="宋体" w:hAnsi="宋体" w:eastAsia="宋体" w:cs="AdobeSongStd-Light,Bold"/>
          <w:bCs/>
          <w:color w:val="auto"/>
          <w:kern w:val="0"/>
          <w:szCs w:val="21"/>
          <w:lang w:val="en-US" w:eastAsia="zh-CN"/>
        </w:rPr>
      </w:pPr>
      <w:r>
        <w:rPr>
          <w:rFonts w:hint="eastAsia" w:ascii="宋体" w:hAnsi="宋体" w:eastAsia="宋体" w:cs="AdobeSongStd-Light,Bold"/>
          <w:bCs/>
          <w:color w:val="auto"/>
          <w:kern w:val="0"/>
          <w:szCs w:val="21"/>
          <w:lang w:val="en-US" w:eastAsia="zh-CN"/>
        </w:rPr>
        <w:t>（5）贴息率按本合同约定的贴息信息执行。</w:t>
      </w:r>
    </w:p>
    <w:p>
      <w:pPr>
        <w:autoSpaceDE w:val="0"/>
        <w:autoSpaceDN w:val="0"/>
        <w:adjustRightInd w:val="0"/>
        <w:spacing w:line="320" w:lineRule="exact"/>
        <w:jc w:val="left"/>
        <w:rPr>
          <w:rFonts w:hint="eastAsia" w:ascii="宋体" w:hAnsi="宋体" w:eastAsia="宋体" w:cs="AdobeSongStd-Light,Bold"/>
          <w:bCs/>
          <w:color w:val="auto"/>
          <w:kern w:val="0"/>
          <w:szCs w:val="21"/>
          <w:lang w:val="en-US" w:eastAsia="zh-CN"/>
        </w:rPr>
      </w:pPr>
      <w:r>
        <w:rPr>
          <w:rFonts w:hint="eastAsia" w:ascii="宋体" w:hAnsi="宋体" w:eastAsia="宋体" w:cs="AdobeSongStd-Light,Bold"/>
          <w:bCs/>
          <w:color w:val="auto"/>
          <w:kern w:val="0"/>
          <w:szCs w:val="21"/>
          <w:lang w:val="en-US" w:eastAsia="zh-CN"/>
        </w:rPr>
        <w:t>（6）买方按月根据支付日期、支付品种、合同标的类型等向卖方合并支付，支付贴息总额在1万元（含税）以内时免息，1万元（含1万元）以上时按以下方式执行：优化支付产生的差额视为支付折扣，买方可在应付款项中扣减，不开具增值税发票；劣化支付产生的差额，由卖方向买方开具增值税发票办理结算，不再计算贴息。</w:t>
      </w:r>
    </w:p>
    <w:p>
      <w:pPr>
        <w:numPr>
          <w:ilvl w:val="0"/>
          <w:numId w:val="0"/>
        </w:numPr>
        <w:autoSpaceDE w:val="0"/>
        <w:autoSpaceDN w:val="0"/>
        <w:adjustRightInd w:val="0"/>
        <w:spacing w:line="320" w:lineRule="exact"/>
        <w:jc w:val="left"/>
        <w:rPr>
          <w:rFonts w:ascii="宋体" w:hAnsi="宋体" w:cs="AdobeSongStd-Light,Bold"/>
          <w:bCs/>
          <w:color w:val="auto"/>
          <w:kern w:val="0"/>
          <w:szCs w:val="21"/>
        </w:rPr>
      </w:pPr>
      <w:r>
        <w:rPr>
          <w:rFonts w:hint="eastAsia" w:ascii="宋体" w:hAnsi="宋体" w:cs="AdobeSongStd-Light,Bold"/>
          <w:bCs/>
          <w:color w:val="auto"/>
          <w:kern w:val="0"/>
          <w:szCs w:val="21"/>
          <w:lang w:val="en-US" w:eastAsia="zh-CN"/>
        </w:rPr>
        <w:t>十一、违约</w:t>
      </w:r>
      <w:r>
        <w:rPr>
          <w:rFonts w:hint="eastAsia" w:ascii="宋体" w:hAnsi="宋体" w:cs="AdobeSongStd-Light,Bold"/>
          <w:bCs/>
          <w:color w:val="auto"/>
          <w:kern w:val="0"/>
          <w:szCs w:val="21"/>
        </w:rPr>
        <w:t>责任</w:t>
      </w:r>
    </w:p>
    <w:p>
      <w:pPr>
        <w:numPr>
          <w:ilvl w:val="0"/>
          <w:numId w:val="3"/>
        </w:numPr>
        <w:jc w:val="both"/>
        <w:rPr>
          <w:rFonts w:hint="default" w:ascii="宋体" w:hAnsi="宋体" w:eastAsia="宋体" w:cs="AdobeSongStd-Light,Bold"/>
          <w:bCs/>
          <w:color w:val="auto"/>
          <w:kern w:val="0"/>
          <w:szCs w:val="21"/>
          <w:lang w:val="en-US" w:eastAsia="zh-CN"/>
        </w:rPr>
      </w:pPr>
      <w:r>
        <w:rPr>
          <w:rFonts w:hint="default" w:ascii="宋体" w:hAnsi="宋体" w:eastAsia="宋体" w:cs="AdobeSongStd-Light,Bold"/>
          <w:bCs/>
          <w:color w:val="auto"/>
          <w:kern w:val="0"/>
          <w:szCs w:val="21"/>
          <w:lang w:val="en-US" w:eastAsia="zh-CN"/>
        </w:rPr>
        <w:t>卖方没有履行或擅自更改本合同的内容，应承担违约责任，并按《民法典》及其它法律法规办理</w:t>
      </w:r>
      <w:r>
        <w:rPr>
          <w:rFonts w:hint="eastAsia" w:ascii="宋体" w:hAnsi="宋体" w:eastAsia="宋体" w:cs="AdobeSongStd-Light,Bold"/>
          <w:bCs/>
          <w:color w:val="auto"/>
          <w:kern w:val="0"/>
          <w:szCs w:val="21"/>
          <w:lang w:val="en-US" w:eastAsia="zh-CN"/>
        </w:rPr>
        <w:t>。</w:t>
      </w:r>
      <w:r>
        <w:rPr>
          <w:rFonts w:hint="default" w:ascii="宋体" w:hAnsi="宋体" w:eastAsia="宋体" w:cs="AdobeSongStd-Light,Bold"/>
          <w:bCs/>
          <w:color w:val="auto"/>
          <w:kern w:val="0"/>
          <w:szCs w:val="21"/>
          <w:lang w:val="en-US" w:eastAsia="zh-CN"/>
        </w:rPr>
        <w:t>2、产品在使用过程中因卖方质量问题给买方造成经济损失的由卖方负责赔偿。</w:t>
      </w:r>
      <w:r>
        <w:rPr>
          <w:rFonts w:hint="eastAsia" w:ascii="宋体" w:hAnsi="宋体" w:eastAsia="宋体" w:cs="AdobeSongStd-Light,Bold"/>
          <w:bCs/>
          <w:color w:val="auto"/>
          <w:kern w:val="0"/>
          <w:szCs w:val="21"/>
          <w:lang w:val="en-US" w:eastAsia="zh-CN"/>
        </w:rPr>
        <w:t>3</w:t>
      </w:r>
      <w:r>
        <w:rPr>
          <w:rFonts w:hint="default" w:ascii="宋体" w:hAnsi="宋体" w:eastAsia="宋体" w:cs="AdobeSongStd-Light,Bold"/>
          <w:bCs/>
          <w:color w:val="auto"/>
          <w:kern w:val="0"/>
          <w:szCs w:val="21"/>
          <w:lang w:val="en-US" w:eastAsia="zh-CN"/>
        </w:rPr>
        <w:t>、当因卖方延迟交货、未交货及货达不到合同条款的约定、交货产品出现质量异议等违约问题时，买方可通知卖方就违约问题进行书面确认，卖方在买方规定的时间内未予确认的，视为同意买方意见。</w:t>
      </w:r>
      <w:r>
        <w:rPr>
          <w:rFonts w:hint="eastAsia" w:ascii="宋体" w:hAnsi="宋体" w:eastAsia="宋体" w:cs="AdobeSongStd-Light,Bold"/>
          <w:bCs/>
          <w:color w:val="auto"/>
          <w:kern w:val="0"/>
          <w:szCs w:val="21"/>
          <w:lang w:val="en-US" w:eastAsia="zh-CN"/>
        </w:rPr>
        <w:t>4</w:t>
      </w:r>
      <w:r>
        <w:rPr>
          <w:rFonts w:hint="default" w:ascii="宋体" w:hAnsi="宋体" w:eastAsia="宋体" w:cs="AdobeSongStd-Light,Bold"/>
          <w:bCs/>
          <w:color w:val="auto"/>
          <w:kern w:val="0"/>
          <w:szCs w:val="21"/>
          <w:lang w:val="en-US" w:eastAsia="zh-CN"/>
        </w:rPr>
        <w:t>、对合同履行过程中涉及的异议索赔包括但不限于对履约保证金和质量保证金的扣罚。因卖方原因给买方造成的损失超过保证金数额的，卖方须及时对超过部分予以赔偿，对拒不赔偿的，除按供应商管理相关规定进行处罚外，诉诸法律。</w:t>
      </w:r>
      <w:r>
        <w:rPr>
          <w:rFonts w:hint="eastAsia" w:ascii="宋体" w:hAnsi="宋体" w:eastAsia="宋体" w:cs="AdobeSongStd-Light,Bold"/>
          <w:bCs/>
          <w:color w:val="FF0000"/>
          <w:kern w:val="0"/>
          <w:szCs w:val="21"/>
          <w:lang w:val="en-US" w:eastAsia="zh-CN"/>
        </w:rPr>
        <w:t>5</w:t>
      </w:r>
      <w:r>
        <w:rPr>
          <w:rFonts w:hint="default" w:ascii="宋体" w:hAnsi="宋体" w:eastAsia="宋体" w:cs="AdobeSongStd-Light,Bold"/>
          <w:bCs/>
          <w:color w:val="FF0000"/>
          <w:kern w:val="0"/>
          <w:szCs w:val="21"/>
          <w:lang w:val="en-US" w:eastAsia="zh-CN"/>
        </w:rPr>
        <w:t>、</w:t>
      </w:r>
      <w:r>
        <w:rPr>
          <w:rFonts w:hint="eastAsia" w:ascii="宋体" w:hAnsi="宋体" w:eastAsia="宋体" w:cs="AdobeSongStd-Light,Bold"/>
          <w:bCs/>
          <w:color w:val="FF0000"/>
          <w:kern w:val="0"/>
          <w:szCs w:val="21"/>
          <w:lang w:val="en-US" w:eastAsia="zh-CN"/>
        </w:rPr>
        <w:t>延期交货违约扣款条款：因卖方原因违约延迟交货（不可抗力因素和买方要求原因除外）,每逾期1天，卖方按合同含税违约总金额的0.5%向买方支付违约金（向上取整至个位），累计违约总金额不超过合同含税总金额的5%。到货时间以买方（或最终用户）签收时间为准。</w:t>
      </w:r>
      <w:r>
        <w:rPr>
          <w:rFonts w:hint="eastAsia" w:ascii="宋体" w:hAnsi="宋体" w:eastAsia="宋体" w:cs="AdobeSongStd-Light,Bold"/>
          <w:bCs/>
          <w:color w:val="auto"/>
          <w:kern w:val="0"/>
          <w:szCs w:val="21"/>
          <w:lang w:val="en-US" w:eastAsia="zh-CN"/>
        </w:rPr>
        <w:t>6</w:t>
      </w:r>
      <w:r>
        <w:rPr>
          <w:rFonts w:hint="default" w:ascii="宋体" w:hAnsi="宋体" w:eastAsia="宋体" w:cs="AdobeSongStd-Light,Bold"/>
          <w:bCs/>
          <w:color w:val="auto"/>
          <w:kern w:val="0"/>
          <w:szCs w:val="21"/>
          <w:lang w:val="en-US" w:eastAsia="zh-CN"/>
        </w:rPr>
        <w:t>、</w:t>
      </w:r>
      <w:r>
        <w:rPr>
          <w:rFonts w:hint="eastAsia" w:ascii="宋体" w:hAnsi="宋体" w:eastAsia="宋体" w:cs="AdobeSongStd-Light,Bold"/>
          <w:bCs/>
          <w:color w:val="auto"/>
          <w:kern w:val="0"/>
          <w:szCs w:val="21"/>
          <w:lang w:val="en-US" w:eastAsia="zh-CN"/>
        </w:rPr>
        <w:t>履约违约扣款条款：</w:t>
      </w:r>
      <w:r>
        <w:rPr>
          <w:rFonts w:hint="default" w:ascii="宋体" w:hAnsi="宋体" w:eastAsia="宋体" w:cs="AdobeSongStd-Light,Bold"/>
          <w:bCs/>
          <w:color w:val="auto"/>
          <w:kern w:val="0"/>
          <w:szCs w:val="21"/>
          <w:lang w:val="en-US" w:eastAsia="zh-CN"/>
        </w:rPr>
        <w:t>因卖方原因，合同执行率未达到买方要求(或100±5%），合同执行率小于95%时，扣除相应额度的合同违约金【合同违约金扣除金额=（合同量-实际供货量）÷合同量×合同含税总金额×5%】</w:t>
      </w:r>
      <w:r>
        <w:rPr>
          <w:rFonts w:hint="eastAsia" w:ascii="宋体" w:hAnsi="宋体" w:eastAsia="宋体" w:cs="AdobeSongStd-Light,Bold"/>
          <w:bCs/>
          <w:color w:val="auto"/>
          <w:kern w:val="0"/>
          <w:szCs w:val="21"/>
          <w:lang w:val="en-US" w:eastAsia="zh-CN"/>
        </w:rPr>
        <w:t>，</w:t>
      </w:r>
      <w:r>
        <w:rPr>
          <w:rFonts w:hint="default" w:ascii="宋体" w:hAnsi="宋体" w:eastAsia="宋体" w:cs="AdobeSongStd-Light,Bold"/>
          <w:bCs/>
          <w:color w:val="auto"/>
          <w:kern w:val="0"/>
          <w:szCs w:val="21"/>
          <w:lang w:val="en-US" w:eastAsia="zh-CN"/>
        </w:rPr>
        <w:t>合同执行率大于105%时，超出部分将不予</w:t>
      </w:r>
      <w:r>
        <w:rPr>
          <w:rFonts w:hint="eastAsia" w:ascii="宋体" w:hAnsi="宋体" w:eastAsia="宋体" w:cs="AdobeSongStd-Light,Bold"/>
          <w:bCs/>
          <w:color w:val="0000FF"/>
          <w:kern w:val="0"/>
          <w:szCs w:val="21"/>
          <w:lang w:val="en-US" w:eastAsia="zh-CN"/>
        </w:rPr>
        <w:t>结算</w:t>
      </w:r>
      <w:r>
        <w:rPr>
          <w:rFonts w:hint="default" w:ascii="宋体" w:hAnsi="宋体" w:eastAsia="宋体" w:cs="AdobeSongStd-Light,Bold"/>
          <w:bCs/>
          <w:color w:val="auto"/>
          <w:kern w:val="0"/>
          <w:szCs w:val="21"/>
          <w:lang w:val="en-US" w:eastAsia="zh-CN"/>
        </w:rPr>
        <w:t>。</w:t>
      </w:r>
    </w:p>
    <w:p>
      <w:pPr>
        <w:rPr>
          <w:rFonts w:ascii="宋体" w:hAnsi="宋体" w:cs="AdobeSongStd-Light,Bold"/>
          <w:bCs/>
          <w:color w:val="auto"/>
          <w:kern w:val="0"/>
          <w:szCs w:val="21"/>
        </w:rPr>
      </w:pPr>
      <w:r>
        <w:rPr>
          <w:rFonts w:hint="eastAsia" w:ascii="宋体" w:hAnsi="宋体" w:cs="AdobeSongStd-Light,Bold"/>
          <w:bCs/>
          <w:color w:val="auto"/>
          <w:kern w:val="0"/>
          <w:szCs w:val="21"/>
        </w:rPr>
        <w:t>十</w:t>
      </w:r>
      <w:r>
        <w:rPr>
          <w:rFonts w:hint="eastAsia" w:ascii="宋体" w:hAnsi="宋体" w:cs="AdobeSongStd-Light,Bold"/>
          <w:bCs/>
          <w:color w:val="auto"/>
          <w:kern w:val="0"/>
          <w:szCs w:val="21"/>
          <w:lang w:val="en-US" w:eastAsia="zh-CN"/>
        </w:rPr>
        <w:t>二</w:t>
      </w:r>
      <w:r>
        <w:rPr>
          <w:rFonts w:hint="eastAsia" w:ascii="宋体" w:hAnsi="宋体" w:cs="AdobeSongStd-Light,Bold"/>
          <w:bCs/>
          <w:color w:val="auto"/>
          <w:kern w:val="0"/>
          <w:szCs w:val="21"/>
        </w:rPr>
        <w:t>、解决争议的方法</w:t>
      </w:r>
    </w:p>
    <w:p>
      <w:pPr>
        <w:rPr>
          <w:color w:val="auto"/>
        </w:rPr>
      </w:pPr>
      <w:r>
        <w:rPr>
          <w:rFonts w:hint="eastAsia"/>
          <w:color w:val="auto"/>
        </w:rPr>
        <w:t>双方协商解决争议，协商不成的，向合同签订地所在人民法院提起诉讼。</w:t>
      </w:r>
    </w:p>
    <w:p>
      <w:pPr>
        <w:autoSpaceDE w:val="0"/>
        <w:autoSpaceDN w:val="0"/>
        <w:adjustRightInd w:val="0"/>
        <w:spacing w:line="320" w:lineRule="exact"/>
        <w:jc w:val="left"/>
        <w:rPr>
          <w:rFonts w:ascii="宋体" w:hAnsi="宋体" w:cs="AdobeSongStd-Light,Bold"/>
          <w:bCs/>
          <w:color w:val="auto"/>
          <w:kern w:val="0"/>
          <w:szCs w:val="21"/>
        </w:rPr>
      </w:pPr>
      <w:r>
        <w:rPr>
          <w:rFonts w:hint="eastAsia" w:ascii="宋体" w:hAnsi="宋体" w:cs="AdobeSongStd-Light,Bold"/>
          <w:bCs/>
          <w:color w:val="auto"/>
          <w:kern w:val="0"/>
          <w:szCs w:val="21"/>
        </w:rPr>
        <w:t>十</w:t>
      </w:r>
      <w:r>
        <w:rPr>
          <w:rFonts w:hint="eastAsia" w:ascii="宋体" w:hAnsi="宋体" w:cs="AdobeSongStd-Light,Bold"/>
          <w:bCs/>
          <w:color w:val="auto"/>
          <w:kern w:val="0"/>
          <w:szCs w:val="21"/>
          <w:lang w:val="en-US" w:eastAsia="zh-CN"/>
        </w:rPr>
        <w:t>三</w:t>
      </w:r>
      <w:r>
        <w:rPr>
          <w:rFonts w:hint="eastAsia" w:ascii="宋体" w:hAnsi="宋体" w:cs="AdobeSongStd-Light,Bold"/>
          <w:bCs/>
          <w:color w:val="auto"/>
          <w:kern w:val="0"/>
          <w:szCs w:val="21"/>
        </w:rPr>
        <w:t>、其他约定事项</w:t>
      </w:r>
    </w:p>
    <w:p>
      <w:pPr>
        <w:widowControl/>
        <w:jc w:val="left"/>
        <w:rPr>
          <w:rFonts w:hint="default"/>
          <w:color w:val="auto"/>
          <w:lang w:val="en-US" w:eastAsia="zh-CN"/>
        </w:rPr>
      </w:pPr>
      <w:r>
        <w:rPr>
          <w:rFonts w:hint="eastAsia"/>
          <w:color w:val="auto"/>
          <w:lang w:val="en-US" w:eastAsia="zh-CN"/>
        </w:rPr>
        <w:t>1、卖方所供产品在包装、运输、装卸、现场服务等各环节必须符合国家安全环保相关法律法规规定及攀钢安全环保规章制度。发生安全环保事故/事件，根据属地政府行政管理部门或公司内部事故/事件调查报告或责任认定，买卖双方各自承担相应责任。 2、卖方应按买方要求时间按时、按质、按量交货，否则扣除履约保证金。 3产品生产、装运过程符 合国家安全、环保要求，装运过程中因丢失、被盗、损坏等造成的损失由卖方承担。 4、卖方所供产品若出现知识产权侵权行为，其后果和经济责任全部由卖方承担。 5、买方有权按生产情况调整执行余量，如无特殊情况，合同交货期过后合同自动终止，余量不再执行。 6、合同附加的技术协议或技术要求，与合同同时具备法律效力。7、未尽事宜双方协商解决。</w:t>
      </w:r>
    </w:p>
    <w:p>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买方：攀钢集团******有限公司             卖方：</w:t>
      </w:r>
    </w:p>
    <w:p>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地址：                                地址：</w:t>
      </w:r>
    </w:p>
    <w:p>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法定代表人：                    法定代表人：</w:t>
      </w:r>
    </w:p>
    <w:p>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委托或转委托代理人：                委托或转委托代理人：</w:t>
      </w:r>
    </w:p>
    <w:p>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经办人:                       经办人:</w:t>
      </w:r>
    </w:p>
    <w:p>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开户银行：                         开户银行：</w:t>
      </w:r>
    </w:p>
    <w:p>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账号：                              账号：</w:t>
      </w:r>
    </w:p>
    <w:p>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电话：                         电话：</w:t>
      </w:r>
    </w:p>
    <w:p>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传真：                       传真：</w:t>
      </w:r>
    </w:p>
    <w:p>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税号：                          税号：</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邮编：                       邮编： </w:t>
      </w:r>
    </w:p>
    <w:p>
      <w:pPr>
        <w:widowControl/>
        <w:jc w:val="left"/>
        <w:rPr>
          <w:rFonts w:hint="eastAsia" w:ascii="宋体" w:hAnsi="宋体" w:eastAsia="宋体" w:cs="宋体"/>
          <w:color w:val="auto"/>
          <w:sz w:val="24"/>
          <w:szCs w:val="24"/>
        </w:rPr>
      </w:pPr>
    </w:p>
    <w:p>
      <w:pPr>
        <w:rPr>
          <w:rFonts w:hint="eastAsia" w:asciiTheme="minorEastAsia" w:hAnsiTheme="minorEastAsia" w:eastAsiaTheme="minorEastAsia" w:cstheme="minorEastAsia"/>
          <w:b w:val="0"/>
          <w:b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dobeSongStd-Light,Bold">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C5DCA5"/>
    <w:multiLevelType w:val="singleLevel"/>
    <w:tmpl w:val="93C5DCA5"/>
    <w:lvl w:ilvl="0" w:tentative="0">
      <w:start w:val="9"/>
      <w:numFmt w:val="chineseCounting"/>
      <w:suff w:val="nothing"/>
      <w:lvlText w:val="%1、"/>
      <w:lvlJc w:val="left"/>
      <w:rPr>
        <w:rFonts w:hint="eastAsia"/>
      </w:rPr>
    </w:lvl>
  </w:abstractNum>
  <w:abstractNum w:abstractNumId="1">
    <w:nsid w:val="CE065BCE"/>
    <w:multiLevelType w:val="singleLevel"/>
    <w:tmpl w:val="CE065BCE"/>
    <w:lvl w:ilvl="0" w:tentative="0">
      <w:start w:val="2"/>
      <w:numFmt w:val="chineseCounting"/>
      <w:suff w:val="nothing"/>
      <w:lvlText w:val="（%1）"/>
      <w:lvlJc w:val="left"/>
      <w:rPr>
        <w:rFonts w:hint="eastAsia"/>
      </w:rPr>
    </w:lvl>
  </w:abstractNum>
  <w:abstractNum w:abstractNumId="2">
    <w:nsid w:val="216955BB"/>
    <w:multiLevelType w:val="singleLevel"/>
    <w:tmpl w:val="216955B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YTNhNDRlZjQ5NWE5MDE0YTIwOTcyYmM4ZjA2ZGUifQ=="/>
    <w:docVar w:name="KSO_WPS_MARK_KEY" w:val="3ce70b5d-18e4-446e-86e4-583579171fdd"/>
  </w:docVars>
  <w:rsids>
    <w:rsidRoot w:val="0590103E"/>
    <w:rsid w:val="0001121F"/>
    <w:rsid w:val="025E7A63"/>
    <w:rsid w:val="030E74D3"/>
    <w:rsid w:val="03A372D4"/>
    <w:rsid w:val="042B5E89"/>
    <w:rsid w:val="04503A7C"/>
    <w:rsid w:val="047C0863"/>
    <w:rsid w:val="051E22DB"/>
    <w:rsid w:val="0590103E"/>
    <w:rsid w:val="065B42D3"/>
    <w:rsid w:val="06B92F6D"/>
    <w:rsid w:val="07274219"/>
    <w:rsid w:val="07BF75DF"/>
    <w:rsid w:val="07D36B79"/>
    <w:rsid w:val="09647394"/>
    <w:rsid w:val="0A1D0A77"/>
    <w:rsid w:val="0C6D1703"/>
    <w:rsid w:val="0D24337E"/>
    <w:rsid w:val="0D722ED4"/>
    <w:rsid w:val="0D896AE8"/>
    <w:rsid w:val="0EEB31B9"/>
    <w:rsid w:val="0F130276"/>
    <w:rsid w:val="101650F8"/>
    <w:rsid w:val="11683388"/>
    <w:rsid w:val="11812C50"/>
    <w:rsid w:val="11A20834"/>
    <w:rsid w:val="11B351DC"/>
    <w:rsid w:val="12282CC2"/>
    <w:rsid w:val="14F47331"/>
    <w:rsid w:val="162D700A"/>
    <w:rsid w:val="16517F91"/>
    <w:rsid w:val="17476612"/>
    <w:rsid w:val="17C90EE5"/>
    <w:rsid w:val="18647023"/>
    <w:rsid w:val="19C612D3"/>
    <w:rsid w:val="1AA4057E"/>
    <w:rsid w:val="1AA8244E"/>
    <w:rsid w:val="1B152E1A"/>
    <w:rsid w:val="1B337414"/>
    <w:rsid w:val="1C6B432E"/>
    <w:rsid w:val="1C7455C8"/>
    <w:rsid w:val="1D38313F"/>
    <w:rsid w:val="1DAA7845"/>
    <w:rsid w:val="1EDC43AE"/>
    <w:rsid w:val="1F9F2809"/>
    <w:rsid w:val="20FD2118"/>
    <w:rsid w:val="21E462B0"/>
    <w:rsid w:val="220F33DD"/>
    <w:rsid w:val="235861B0"/>
    <w:rsid w:val="241367F1"/>
    <w:rsid w:val="243163BF"/>
    <w:rsid w:val="24934BED"/>
    <w:rsid w:val="24E66E2C"/>
    <w:rsid w:val="254639ED"/>
    <w:rsid w:val="25B7726C"/>
    <w:rsid w:val="26806586"/>
    <w:rsid w:val="27B225DD"/>
    <w:rsid w:val="28F76469"/>
    <w:rsid w:val="29D138AF"/>
    <w:rsid w:val="29E61AE2"/>
    <w:rsid w:val="2BC75A20"/>
    <w:rsid w:val="2C647FCC"/>
    <w:rsid w:val="2CD434ED"/>
    <w:rsid w:val="2D151E83"/>
    <w:rsid w:val="2D5D7C65"/>
    <w:rsid w:val="2D835A11"/>
    <w:rsid w:val="2DAB6446"/>
    <w:rsid w:val="2DE53D06"/>
    <w:rsid w:val="2EF63448"/>
    <w:rsid w:val="2F192F0A"/>
    <w:rsid w:val="2F843EC5"/>
    <w:rsid w:val="302C4E5F"/>
    <w:rsid w:val="3225291D"/>
    <w:rsid w:val="32274FA7"/>
    <w:rsid w:val="32820FDE"/>
    <w:rsid w:val="32E26A66"/>
    <w:rsid w:val="33294694"/>
    <w:rsid w:val="3335711A"/>
    <w:rsid w:val="336F581D"/>
    <w:rsid w:val="348E47AF"/>
    <w:rsid w:val="35507A2C"/>
    <w:rsid w:val="35923419"/>
    <w:rsid w:val="35B732B7"/>
    <w:rsid w:val="37435004"/>
    <w:rsid w:val="37A91900"/>
    <w:rsid w:val="37DE24FA"/>
    <w:rsid w:val="381A262A"/>
    <w:rsid w:val="39DC0E42"/>
    <w:rsid w:val="3A3214D3"/>
    <w:rsid w:val="3BB1111B"/>
    <w:rsid w:val="3BF408F0"/>
    <w:rsid w:val="3C101F4E"/>
    <w:rsid w:val="3C1A5AD7"/>
    <w:rsid w:val="3C6D73A0"/>
    <w:rsid w:val="3C8F2359"/>
    <w:rsid w:val="3CED30BD"/>
    <w:rsid w:val="3E323AE7"/>
    <w:rsid w:val="3E341317"/>
    <w:rsid w:val="3E450FCE"/>
    <w:rsid w:val="3E587D1C"/>
    <w:rsid w:val="3EA73079"/>
    <w:rsid w:val="3F5C3FC5"/>
    <w:rsid w:val="3F9A5C00"/>
    <w:rsid w:val="3FB7453F"/>
    <w:rsid w:val="40026A08"/>
    <w:rsid w:val="400D79DE"/>
    <w:rsid w:val="40C60AB2"/>
    <w:rsid w:val="42674891"/>
    <w:rsid w:val="44581543"/>
    <w:rsid w:val="45276110"/>
    <w:rsid w:val="45B20224"/>
    <w:rsid w:val="45DD4E13"/>
    <w:rsid w:val="46610B4B"/>
    <w:rsid w:val="474D2B48"/>
    <w:rsid w:val="49F033BE"/>
    <w:rsid w:val="4A204F8A"/>
    <w:rsid w:val="4BBC4096"/>
    <w:rsid w:val="4D146E0B"/>
    <w:rsid w:val="4FD82139"/>
    <w:rsid w:val="4FF44234"/>
    <w:rsid w:val="502B0EE3"/>
    <w:rsid w:val="504734EB"/>
    <w:rsid w:val="51A51B7E"/>
    <w:rsid w:val="523A6FF3"/>
    <w:rsid w:val="523E4BD9"/>
    <w:rsid w:val="52E3776A"/>
    <w:rsid w:val="52FC560B"/>
    <w:rsid w:val="541250CE"/>
    <w:rsid w:val="5432754E"/>
    <w:rsid w:val="553B7BE4"/>
    <w:rsid w:val="55BD5B22"/>
    <w:rsid w:val="55ED274F"/>
    <w:rsid w:val="56646A11"/>
    <w:rsid w:val="568A03B9"/>
    <w:rsid w:val="56A609E0"/>
    <w:rsid w:val="56CC4738"/>
    <w:rsid w:val="574B2DE1"/>
    <w:rsid w:val="57C67EB2"/>
    <w:rsid w:val="590401E8"/>
    <w:rsid w:val="594C299F"/>
    <w:rsid w:val="597772F8"/>
    <w:rsid w:val="597973B7"/>
    <w:rsid w:val="59846F64"/>
    <w:rsid w:val="59C70F0F"/>
    <w:rsid w:val="59E017E7"/>
    <w:rsid w:val="5AD14B46"/>
    <w:rsid w:val="5DFB3A40"/>
    <w:rsid w:val="5EB377FC"/>
    <w:rsid w:val="5F0F7FEE"/>
    <w:rsid w:val="612C4CEA"/>
    <w:rsid w:val="612E77D3"/>
    <w:rsid w:val="61443361"/>
    <w:rsid w:val="61815A12"/>
    <w:rsid w:val="61EC2BEE"/>
    <w:rsid w:val="62737B75"/>
    <w:rsid w:val="63250CBE"/>
    <w:rsid w:val="63DB71BA"/>
    <w:rsid w:val="642E3FF9"/>
    <w:rsid w:val="649C6205"/>
    <w:rsid w:val="64CF6F7E"/>
    <w:rsid w:val="650F73EA"/>
    <w:rsid w:val="65813394"/>
    <w:rsid w:val="659B7171"/>
    <w:rsid w:val="65C04234"/>
    <w:rsid w:val="6642519C"/>
    <w:rsid w:val="667E3027"/>
    <w:rsid w:val="66C53D49"/>
    <w:rsid w:val="670D1992"/>
    <w:rsid w:val="679C1260"/>
    <w:rsid w:val="67D246F1"/>
    <w:rsid w:val="67EC1211"/>
    <w:rsid w:val="68272D74"/>
    <w:rsid w:val="6D313B50"/>
    <w:rsid w:val="6DB47D64"/>
    <w:rsid w:val="6DD65D81"/>
    <w:rsid w:val="6E1E0AC6"/>
    <w:rsid w:val="6E4474FB"/>
    <w:rsid w:val="6F2D3CF2"/>
    <w:rsid w:val="71866233"/>
    <w:rsid w:val="719D1B7E"/>
    <w:rsid w:val="71FA5FDC"/>
    <w:rsid w:val="723E7BBC"/>
    <w:rsid w:val="72C26A9B"/>
    <w:rsid w:val="73A5119F"/>
    <w:rsid w:val="73D721AF"/>
    <w:rsid w:val="73F12BB3"/>
    <w:rsid w:val="74902980"/>
    <w:rsid w:val="74B60F46"/>
    <w:rsid w:val="75017A57"/>
    <w:rsid w:val="75123DB0"/>
    <w:rsid w:val="758B2893"/>
    <w:rsid w:val="759A3A15"/>
    <w:rsid w:val="75BA1929"/>
    <w:rsid w:val="760C3653"/>
    <w:rsid w:val="76A3115C"/>
    <w:rsid w:val="76DD7C01"/>
    <w:rsid w:val="779D0F8C"/>
    <w:rsid w:val="77F051AC"/>
    <w:rsid w:val="780B72EB"/>
    <w:rsid w:val="78B30ACA"/>
    <w:rsid w:val="78B90C55"/>
    <w:rsid w:val="79097BBD"/>
    <w:rsid w:val="7A023D76"/>
    <w:rsid w:val="7A391CE2"/>
    <w:rsid w:val="7AA731DC"/>
    <w:rsid w:val="7AAA1C3B"/>
    <w:rsid w:val="7B6D4106"/>
    <w:rsid w:val="7BBE10ED"/>
    <w:rsid w:val="7C42581E"/>
    <w:rsid w:val="7C795002"/>
    <w:rsid w:val="7DDD1DCA"/>
    <w:rsid w:val="7ED36988"/>
    <w:rsid w:val="7F6C1B12"/>
    <w:rsid w:val="7F8B1A13"/>
    <w:rsid w:val="7F946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2844</Words>
  <Characters>2886</Characters>
  <Lines>0</Lines>
  <Paragraphs>0</Paragraphs>
  <TotalTime>6</TotalTime>
  <ScaleCrop>false</ScaleCrop>
  <LinksUpToDate>false</LinksUpToDate>
  <CharactersWithSpaces>3151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2022-08-12T03:12:00Z</dcterms:created>
  <dc:creator>Lenovo</dc:creator>
  <cp:lastModifiedBy>pc88</cp:lastModifiedBy>
  <cp:lastPrinted>2025-08-29T06:09:00Z</cp:lastPrinted>
  <dcterms:modified xsi:type="dcterms:W3CDTF">2026-07-16T06:26:12Z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49B507DCC2EA488880269361B0119C97_13</vt:lpwstr>
  </property>
  <property fmtid="{D5CDD505-2E9C-101B-9397-08002B2CF9AE}" pid="4" name="KSOTemplateDocerSaveRecord">
    <vt:lpwstr>eyJoZGlkIjoiOTk5NjkyNzExZjYzNzcxMTBhMzY1ODNhNTNjNTZjNmMiLCJ1c2VySWQiOiI1ODA3ODQyODkifQ==</vt:lpwstr>
  </property>
</Properties>
</file>