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13A33">
      <w:pPr>
        <w:keepNext w:val="0"/>
        <w:keepLines w:val="0"/>
        <w:pageBreakBefore w:val="0"/>
        <w:numPr>
          <w:ilvl w:val="0"/>
          <w:numId w:val="0"/>
        </w:numPr>
        <w:kinsoku/>
        <w:wordWrap/>
        <w:overflowPunct/>
        <w:topLinePunct w:val="0"/>
        <w:autoSpaceDE/>
        <w:autoSpaceDN/>
        <w:bidi w:val="0"/>
        <w:spacing w:line="360" w:lineRule="auto"/>
        <w:jc w:val="center"/>
        <w:textAlignment w:val="auto"/>
        <w:rPr>
          <w:rFonts w:hint="eastAsia" w:ascii="黑体" w:hAnsi="黑体" w:eastAsia="黑体" w:cs="黑体"/>
          <w:b w:val="0"/>
          <w:bCs w:val="0"/>
          <w:i w:val="0"/>
          <w:caps w:val="0"/>
          <w:color w:val="auto"/>
          <w:spacing w:val="3"/>
          <w:sz w:val="32"/>
          <w:szCs w:val="32"/>
          <w:highlight w:val="none"/>
          <w:shd w:val="clear" w:fill="FFFFFF"/>
          <w:lang w:val="en-US" w:eastAsia="zh-CN"/>
        </w:rPr>
      </w:pPr>
      <w:r>
        <w:rPr>
          <w:rFonts w:hint="eastAsia" w:ascii="黑体" w:hAnsi="黑体" w:eastAsia="黑体" w:cs="黑体"/>
          <w:b w:val="0"/>
          <w:bCs w:val="0"/>
          <w:i w:val="0"/>
          <w:caps w:val="0"/>
          <w:color w:val="auto"/>
          <w:spacing w:val="3"/>
          <w:sz w:val="44"/>
          <w:szCs w:val="44"/>
          <w:highlight w:val="none"/>
          <w:shd w:val="clear" w:fill="FFFFFF"/>
          <w:lang w:val="en-US" w:eastAsia="zh-CN"/>
        </w:rPr>
        <w:t>评标方式及中标规则（德邻平台-资材</w:t>
      </w:r>
      <w:r>
        <w:rPr>
          <w:rFonts w:hint="eastAsia" w:ascii="仿宋_GB2312" w:hAnsi="仿宋_GB2312" w:eastAsia="仿宋_GB2312" w:cs="仿宋_GB2312"/>
          <w:b w:val="0"/>
          <w:bCs w:val="0"/>
          <w:color w:val="auto"/>
          <w:sz w:val="44"/>
          <w:szCs w:val="44"/>
          <w:lang w:val="en-US" w:eastAsia="zh-CN"/>
        </w:rPr>
        <w:t>）</w:t>
      </w:r>
    </w:p>
    <w:p w14:paraId="0ED789EB">
      <w:pPr>
        <w:keepNext w:val="0"/>
        <w:keepLines w:val="0"/>
        <w:pageBreakBefore w:val="0"/>
        <w:numPr>
          <w:ilvl w:val="0"/>
          <w:numId w:val="0"/>
        </w:numPr>
        <w:kinsoku/>
        <w:wordWrap/>
        <w:overflowPunct/>
        <w:topLinePunct w:val="0"/>
        <w:autoSpaceDE/>
        <w:autoSpaceDN/>
        <w:bidi w:val="0"/>
        <w:spacing w:line="360" w:lineRule="auto"/>
        <w:jc w:val="center"/>
        <w:textAlignment w:val="auto"/>
        <w:rPr>
          <w:rFonts w:hint="eastAsia" w:ascii="黑体" w:hAnsi="黑体" w:eastAsia="黑体" w:cs="黑体"/>
          <w:b w:val="0"/>
          <w:bCs w:val="0"/>
          <w:i w:val="0"/>
          <w:caps w:val="0"/>
          <w:color w:val="auto"/>
          <w:spacing w:val="3"/>
          <w:sz w:val="32"/>
          <w:szCs w:val="32"/>
          <w:highlight w:val="none"/>
          <w:shd w:val="clear" w:fill="FFFFFF"/>
          <w:lang w:val="en-US" w:eastAsia="zh-CN"/>
        </w:rPr>
      </w:pPr>
    </w:p>
    <w:p w14:paraId="627D68E9">
      <w:pPr>
        <w:numPr>
          <w:ilvl w:val="0"/>
          <w:numId w:val="1"/>
        </w:numPr>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资格审查方式</w:t>
      </w:r>
    </w:p>
    <w:p w14:paraId="7C5E8242">
      <w:pPr>
        <w:numPr>
          <w:ilvl w:val="0"/>
          <w:numId w:val="0"/>
        </w:numPr>
        <w:tabs>
          <w:tab w:val="left" w:pos="1398"/>
        </w:tabs>
        <w:ind w:firstLine="640" w:firstLineChars="200"/>
        <w:rPr>
          <w:rFonts w:hint="default" w:eastAsiaTheme="minorEastAsia"/>
          <w:b w:val="0"/>
          <w:bCs w:val="0"/>
          <w:color w:val="auto"/>
          <w:lang w:val="en-US" w:eastAsia="zh-CN"/>
        </w:rPr>
      </w:pPr>
      <w:r>
        <w:rPr>
          <w:rFonts w:hint="eastAsia" w:ascii="仿宋_GB2312" w:hAnsi="仿宋_GB2312" w:eastAsia="仿宋_GB2312" w:cs="仿宋_GB2312"/>
          <w:b w:val="0"/>
          <w:bCs w:val="0"/>
          <w:color w:val="auto"/>
          <w:sz w:val="32"/>
          <w:szCs w:val="32"/>
          <w:lang w:val="en-US" w:eastAsia="zh-CN"/>
        </w:rPr>
        <w:t>资</w:t>
      </w:r>
      <w:r>
        <w:rPr>
          <w:rFonts w:hint="eastAsia" w:ascii="仿宋_GB2312" w:hAnsi="仿宋_GB2312" w:eastAsia="仿宋_GB2312" w:cs="仿宋_GB2312"/>
          <w:b w:val="0"/>
          <w:bCs w:val="0"/>
          <w:color w:val="auto"/>
          <w:sz w:val="32"/>
          <w:szCs w:val="32"/>
          <w:highlight w:val="none"/>
          <w:lang w:val="en-US" w:eastAsia="zh-CN"/>
        </w:rPr>
        <w:t>格后审</w:t>
      </w:r>
    </w:p>
    <w:p w14:paraId="0C9B274D">
      <w:pPr>
        <w:widowControl/>
        <w:numPr>
          <w:ilvl w:val="0"/>
          <w:numId w:val="1"/>
        </w:numPr>
        <w:spacing w:line="560" w:lineRule="atLeast"/>
        <w:ind w:left="0" w:leftChars="0"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评标规则</w:t>
      </w:r>
    </w:p>
    <w:p w14:paraId="358CCEFA">
      <w:pPr>
        <w:pStyle w:val="2"/>
        <w:numPr>
          <w:ilvl w:val="0"/>
          <w:numId w:val="0"/>
        </w:numPr>
        <w:ind w:firstLine="640" w:firstLineChars="200"/>
        <w:rPr>
          <w:rFonts w:hint="eastAsia" w:ascii="Times New Roman" w:hAnsi="Times New Roman" w:eastAsia="方正仿宋_GB2312" w:cs="Times New Roman"/>
          <w:b w:val="0"/>
          <w:bCs w:val="0"/>
          <w:color w:val="000000" w:themeColor="text1"/>
          <w:kern w:val="0"/>
          <w:sz w:val="32"/>
          <w:szCs w:val="32"/>
          <w:highlight w:val="none"/>
          <w:lang w:eastAsia="zh-CN"/>
          <w14:textFill>
            <w14:solidFill>
              <w14:schemeClr w14:val="tx1"/>
            </w14:solidFill>
          </w14:textFill>
        </w:rPr>
      </w:pPr>
      <w:r>
        <w:rPr>
          <w:rFonts w:hint="eastAsia" w:ascii="仿宋_GB2312" w:hAnsi="仿宋_GB2312" w:eastAsia="仿宋_GB2312" w:cs="仿宋_GB2312"/>
          <w:b w:val="0"/>
          <w:bCs w:val="0"/>
          <w:color w:val="auto"/>
          <w:sz w:val="32"/>
          <w:szCs w:val="32"/>
          <w:lang w:val="en-US" w:eastAsia="zh-CN"/>
        </w:rPr>
        <w:t>经评审的最低投标价法</w:t>
      </w:r>
      <w:r>
        <w:rPr>
          <w:rFonts w:hint="eastAsia" w:ascii="Times New Roman" w:hAnsi="Times New Roman" w:eastAsia="方正仿宋_GB2312" w:cs="Times New Roman"/>
          <w:b w:val="0"/>
          <w:bCs w:val="0"/>
          <w:color w:val="000000" w:themeColor="text1"/>
          <w:kern w:val="0"/>
          <w:sz w:val="32"/>
          <w:szCs w:val="32"/>
          <w:highlight w:val="none"/>
          <w:lang w:eastAsia="zh-CN"/>
          <w14:textFill>
            <w14:solidFill>
              <w14:schemeClr w14:val="tx1"/>
            </w14:solidFill>
          </w14:textFill>
        </w:rPr>
        <w:t>。组合标。</w:t>
      </w:r>
    </w:p>
    <w:p w14:paraId="19029D18">
      <w:pPr>
        <w:widowControl/>
        <w:numPr>
          <w:ilvl w:val="0"/>
          <w:numId w:val="1"/>
        </w:numPr>
        <w:spacing w:line="560" w:lineRule="atLeast"/>
        <w:ind w:left="0" w:leftChars="0" w:firstLine="643" w:firstLineChars="200"/>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中标规则</w:t>
      </w:r>
    </w:p>
    <w:p w14:paraId="3A3114EC">
      <w:pPr>
        <w:pStyle w:val="2"/>
        <w:numPr>
          <w:ilvl w:val="0"/>
          <w:numId w:val="0"/>
        </w:numPr>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3.1非组合标</w:t>
      </w:r>
    </w:p>
    <w:p w14:paraId="6DF99B37">
      <w:pPr>
        <w:spacing w:line="560" w:lineRule="exact"/>
        <w:ind w:firstLine="640" w:firstLineChars="200"/>
        <w:rPr>
          <w:rFonts w:hint="eastAsia" w:ascii="仿宋_GB2312" w:hAnsi="宋体" w:eastAsia="仿宋_GB2312"/>
          <w:b w:val="0"/>
          <w:bCs w:val="0"/>
          <w:color w:val="auto"/>
          <w:sz w:val="32"/>
          <w:szCs w:val="32"/>
          <w:highlight w:val="none"/>
          <w:lang w:val="en-US" w:eastAsia="zh-CN"/>
        </w:rPr>
      </w:pPr>
      <w:r>
        <w:rPr>
          <w:rFonts w:hint="eastAsia" w:ascii="仿宋_GB2312" w:hAnsi="仿宋" w:eastAsia="仿宋_GB2312" w:cs="仿宋_GB2312"/>
          <w:b w:val="0"/>
          <w:bCs w:val="0"/>
          <w:color w:val="auto"/>
          <w:kern w:val="0"/>
          <w:sz w:val="32"/>
          <w:szCs w:val="32"/>
          <w:highlight w:val="none"/>
          <w:lang w:val="en-US" w:eastAsia="zh-CN" w:bidi="en-US"/>
        </w:rPr>
        <w:t>3.1.1如果有效报价在预测价之内，</w:t>
      </w:r>
      <w:r>
        <w:rPr>
          <w:rFonts w:hint="eastAsia" w:ascii="仿宋_GB2312" w:hAnsi="宋体" w:eastAsia="仿宋_GB2312"/>
          <w:b w:val="0"/>
          <w:bCs w:val="0"/>
          <w:color w:val="auto"/>
          <w:sz w:val="32"/>
          <w:szCs w:val="32"/>
          <w:lang w:eastAsia="zh-CN"/>
        </w:rPr>
        <w:t>按单项报价由低到高确定拟成交供应商，</w:t>
      </w:r>
      <w:r>
        <w:rPr>
          <w:rFonts w:hint="eastAsia" w:ascii="仿宋_GB2312" w:hAnsi="仿宋_GB2312" w:eastAsia="仿宋_GB2312" w:cs="仿宋_GB2312"/>
          <w:b w:val="0"/>
          <w:bCs w:val="0"/>
          <w:color w:val="auto"/>
          <w:sz w:val="32"/>
          <w:szCs w:val="32"/>
          <w:highlight w:val="none"/>
          <w:lang w:val="en-US" w:eastAsia="zh-CN"/>
        </w:rPr>
        <w:t>同一品牌取最低价者。</w:t>
      </w:r>
      <w:r>
        <w:rPr>
          <w:rFonts w:hint="eastAsia" w:ascii="仿宋_GB2312" w:hAnsi="宋体" w:eastAsia="仿宋_GB2312"/>
          <w:b w:val="0"/>
          <w:bCs w:val="0"/>
          <w:color w:val="auto"/>
          <w:sz w:val="32"/>
          <w:szCs w:val="32"/>
          <w:lang w:eastAsia="zh-CN"/>
        </w:rPr>
        <w:t>如果（同一品牌）有多个供应商报价相同，</w:t>
      </w:r>
      <w:r>
        <w:rPr>
          <w:rFonts w:hint="eastAsia" w:ascii="仿宋_GB2312" w:hAnsi="宋体" w:eastAsia="仿宋_GB2312"/>
          <w:b w:val="0"/>
          <w:bCs w:val="0"/>
          <w:color w:val="auto"/>
          <w:sz w:val="32"/>
          <w:szCs w:val="32"/>
        </w:rPr>
        <w:t>按以下原则确定</w:t>
      </w:r>
      <w:r>
        <w:rPr>
          <w:rFonts w:hint="eastAsia" w:ascii="仿宋_GB2312" w:hAnsi="宋体" w:eastAsia="仿宋_GB2312"/>
          <w:b w:val="0"/>
          <w:bCs w:val="0"/>
          <w:color w:val="auto"/>
          <w:sz w:val="32"/>
          <w:szCs w:val="32"/>
          <w:lang w:eastAsia="zh-CN"/>
        </w:rPr>
        <w:t>拟成交</w:t>
      </w:r>
      <w:r>
        <w:rPr>
          <w:rFonts w:hint="eastAsia" w:ascii="仿宋_GB2312" w:hAnsi="宋体" w:eastAsia="仿宋_GB2312"/>
          <w:b w:val="0"/>
          <w:bCs w:val="0"/>
          <w:color w:val="auto"/>
          <w:sz w:val="32"/>
          <w:szCs w:val="32"/>
        </w:rPr>
        <w:t>供方：</w:t>
      </w:r>
      <w:r>
        <w:rPr>
          <w:rFonts w:hint="eastAsia" w:ascii="仿宋_GB2312" w:hAnsi="仿宋_GB2312" w:eastAsia="仿宋_GB2312" w:cs="仿宋_GB2312"/>
          <w:b w:val="0"/>
          <w:bCs w:val="0"/>
          <w:color w:val="auto"/>
          <w:sz w:val="32"/>
          <w:szCs w:val="32"/>
          <w:highlight w:val="none"/>
          <w:lang w:val="en-US" w:eastAsia="zh-CN"/>
        </w:rPr>
        <w:t>按注册资金由多到少（如注册资金相同，则供方重新报价，但报价不得超过原始报价，低价成交）的原则确定成交方。</w:t>
      </w:r>
    </w:p>
    <w:p w14:paraId="00422304">
      <w:pPr>
        <w:pStyle w:val="5"/>
        <w:ind w:firstLine="640" w:firstLineChars="200"/>
        <w:rPr>
          <w:rFonts w:hint="eastAsia" w:ascii="仿宋_GB2312" w:hAnsi="宋体" w:eastAsia="仿宋_GB2312"/>
          <w:b w:val="0"/>
          <w:bCs w:val="0"/>
          <w:color w:val="auto"/>
          <w:sz w:val="32"/>
          <w:szCs w:val="32"/>
        </w:rPr>
      </w:pPr>
      <w:r>
        <w:rPr>
          <w:rFonts w:hint="eastAsia" w:ascii="仿宋_GB2312" w:hAnsi="宋体" w:eastAsia="仿宋_GB2312"/>
          <w:b w:val="0"/>
          <w:bCs w:val="0"/>
          <w:color w:val="auto"/>
          <w:sz w:val="32"/>
          <w:szCs w:val="32"/>
          <w:lang w:val="en-US" w:eastAsia="zh-CN"/>
        </w:rPr>
        <w:t>3</w:t>
      </w:r>
      <w:r>
        <w:rPr>
          <w:rFonts w:hint="eastAsia" w:ascii="仿宋_GB2312" w:hAnsi="宋体" w:eastAsia="仿宋_GB2312"/>
          <w:b w:val="0"/>
          <w:bCs w:val="0"/>
          <w:color w:val="auto"/>
          <w:sz w:val="32"/>
          <w:szCs w:val="32"/>
        </w:rPr>
        <w:t>.</w:t>
      </w:r>
      <w:r>
        <w:rPr>
          <w:rFonts w:hint="eastAsia" w:ascii="仿宋_GB2312" w:hAnsi="宋体" w:eastAsia="仿宋_GB2312"/>
          <w:b w:val="0"/>
          <w:bCs w:val="0"/>
          <w:color w:val="auto"/>
          <w:sz w:val="32"/>
          <w:szCs w:val="32"/>
          <w:lang w:val="en-US" w:eastAsia="zh-CN"/>
        </w:rPr>
        <w:t>1</w:t>
      </w:r>
      <w:r>
        <w:rPr>
          <w:rFonts w:hint="eastAsia" w:ascii="仿宋_GB2312" w:hAnsi="宋体" w:eastAsia="仿宋_GB2312"/>
          <w:b w:val="0"/>
          <w:bCs w:val="0"/>
          <w:color w:val="auto"/>
          <w:sz w:val="32"/>
          <w:szCs w:val="32"/>
        </w:rPr>
        <w:t>.2</w:t>
      </w:r>
      <w:r>
        <w:rPr>
          <w:rFonts w:hint="eastAsia" w:ascii="仿宋_GB2312" w:hAnsi="仿宋" w:eastAsia="仿宋_GB2312" w:cs="仿宋_GB2312"/>
          <w:b w:val="0"/>
          <w:bCs w:val="0"/>
          <w:color w:val="auto"/>
          <w:kern w:val="0"/>
          <w:sz w:val="32"/>
          <w:szCs w:val="32"/>
          <w:highlight w:val="none"/>
          <w:lang w:val="en-US" w:eastAsia="zh-CN" w:bidi="en-US"/>
        </w:rPr>
        <w:t>如果有效报价在预测价之外，</w:t>
      </w:r>
      <w:r>
        <w:rPr>
          <w:rFonts w:hint="eastAsia" w:ascii="仿宋_GB2312" w:hAnsi="宋体" w:eastAsia="仿宋_GB2312"/>
          <w:b w:val="0"/>
          <w:bCs w:val="0"/>
          <w:color w:val="auto"/>
          <w:sz w:val="32"/>
          <w:szCs w:val="32"/>
          <w:lang w:eastAsia="zh-CN"/>
        </w:rPr>
        <w:t>只</w:t>
      </w:r>
      <w:r>
        <w:rPr>
          <w:rFonts w:hint="eastAsia" w:ascii="仿宋_GB2312" w:hAnsi="宋体" w:eastAsia="仿宋_GB2312"/>
          <w:b w:val="0"/>
          <w:bCs w:val="0"/>
          <w:color w:val="auto"/>
          <w:sz w:val="32"/>
          <w:szCs w:val="32"/>
        </w:rPr>
        <w:t>与</w:t>
      </w:r>
      <w:r>
        <w:rPr>
          <w:rFonts w:hint="eastAsia" w:ascii="仿宋_GB2312" w:hAnsi="宋体" w:eastAsia="仿宋_GB2312"/>
          <w:b w:val="0"/>
          <w:bCs w:val="0"/>
          <w:color w:val="auto"/>
          <w:sz w:val="32"/>
          <w:szCs w:val="32"/>
          <w:lang w:eastAsia="zh-CN"/>
        </w:rPr>
        <w:t>保供家数范围内报价</w:t>
      </w:r>
      <w:r>
        <w:rPr>
          <w:rFonts w:hint="eastAsia" w:ascii="仿宋_GB2312" w:hAnsi="宋体" w:eastAsia="仿宋_GB2312"/>
          <w:b w:val="0"/>
          <w:bCs w:val="0"/>
          <w:color w:val="auto"/>
          <w:sz w:val="32"/>
          <w:szCs w:val="32"/>
        </w:rPr>
        <w:t>投标方协商价格。</w:t>
      </w:r>
      <w:bookmarkStart w:id="0" w:name="_GoBack"/>
      <w:bookmarkEnd w:id="0"/>
    </w:p>
    <w:p w14:paraId="7B99592F">
      <w:pPr>
        <w:spacing w:line="560" w:lineRule="exact"/>
        <w:ind w:firstLine="640" w:firstLineChars="200"/>
        <w:rPr>
          <w:rFonts w:hint="eastAsia" w:ascii="仿宋_GB2312" w:hAnsi="宋体" w:eastAsia="仿宋_GB2312"/>
          <w:b w:val="0"/>
          <w:bCs w:val="0"/>
          <w:color w:val="C00000"/>
          <w:sz w:val="32"/>
          <w:szCs w:val="32"/>
        </w:rPr>
      </w:pPr>
      <w:r>
        <w:rPr>
          <w:rFonts w:hint="eastAsia" w:ascii="仿宋_GB2312" w:hAnsi="宋体" w:eastAsia="仿宋_GB2312"/>
          <w:b w:val="0"/>
          <w:bCs w:val="0"/>
          <w:color w:val="C00000"/>
          <w:sz w:val="32"/>
          <w:szCs w:val="32"/>
          <w:lang w:val="en-US" w:eastAsia="zh-CN"/>
        </w:rPr>
        <w:t>3.2</w:t>
      </w:r>
      <w:r>
        <w:rPr>
          <w:rFonts w:hint="eastAsia" w:ascii="仿宋_GB2312" w:hAnsi="宋体" w:eastAsia="仿宋_GB2312"/>
          <w:b/>
          <w:bCs/>
          <w:color w:val="C00000"/>
          <w:sz w:val="32"/>
          <w:szCs w:val="32"/>
        </w:rPr>
        <w:t>组合标</w:t>
      </w:r>
    </w:p>
    <w:p w14:paraId="3DAEAAB4">
      <w:pPr>
        <w:pStyle w:val="2"/>
        <w:ind w:firstLine="642"/>
        <w:rPr>
          <w:rFonts w:hint="eastAsia" w:ascii="仿宋_GB2312" w:hAnsi="宋体" w:eastAsia="仿宋_GB2312"/>
          <w:b w:val="0"/>
          <w:bCs w:val="0"/>
          <w:color w:val="auto"/>
          <w:sz w:val="32"/>
          <w:szCs w:val="32"/>
          <w:lang w:eastAsia="zh-CN"/>
        </w:rPr>
      </w:pPr>
      <w:r>
        <w:rPr>
          <w:rFonts w:hint="eastAsia" w:ascii="仿宋_GB2312" w:hAnsi="宋体" w:eastAsia="仿宋_GB2312"/>
          <w:b w:val="0"/>
          <w:bCs w:val="0"/>
          <w:color w:val="auto"/>
          <w:sz w:val="32"/>
          <w:szCs w:val="32"/>
          <w:lang w:val="en-US" w:eastAsia="zh-CN"/>
        </w:rPr>
        <w:t xml:space="preserve">3.2.1 </w:t>
      </w:r>
      <w:r>
        <w:rPr>
          <w:rFonts w:hint="eastAsia" w:ascii="仿宋_GB2312" w:hAnsi="仿宋" w:eastAsia="仿宋_GB2312" w:cs="仿宋_GB2312"/>
          <w:b w:val="0"/>
          <w:bCs w:val="0"/>
          <w:color w:val="auto"/>
          <w:kern w:val="0"/>
          <w:sz w:val="32"/>
          <w:szCs w:val="32"/>
          <w:highlight w:val="none"/>
          <w:lang w:val="en-US" w:eastAsia="zh-CN" w:bidi="en-US"/>
        </w:rPr>
        <w:t>如果有效总报价在预测价之内，</w:t>
      </w:r>
      <w:r>
        <w:rPr>
          <w:rFonts w:hint="eastAsia" w:ascii="仿宋_GB2312" w:hAnsi="宋体" w:eastAsia="仿宋_GB2312"/>
          <w:b w:val="0"/>
          <w:bCs w:val="0"/>
          <w:color w:val="auto"/>
          <w:sz w:val="32"/>
          <w:szCs w:val="32"/>
          <w:lang w:val="en-US" w:eastAsia="zh-CN"/>
        </w:rPr>
        <w:t>按</w:t>
      </w:r>
      <w:r>
        <w:rPr>
          <w:rFonts w:hint="eastAsia" w:ascii="仿宋_GB2312" w:hAnsi="宋体" w:eastAsia="仿宋_GB2312"/>
          <w:b w:val="0"/>
          <w:bCs w:val="0"/>
          <w:color w:val="auto"/>
          <w:sz w:val="32"/>
          <w:szCs w:val="32"/>
          <w:lang w:eastAsia="zh-CN"/>
        </w:rPr>
        <w:t>有效</w:t>
      </w:r>
      <w:r>
        <w:rPr>
          <w:rFonts w:hint="eastAsia" w:ascii="仿宋_GB2312" w:hAnsi="宋体" w:eastAsia="仿宋_GB2312"/>
          <w:b w:val="0"/>
          <w:bCs w:val="0"/>
          <w:color w:val="auto"/>
          <w:sz w:val="32"/>
          <w:szCs w:val="32"/>
          <w:lang w:val="en-US" w:eastAsia="zh-CN"/>
        </w:rPr>
        <w:t>总报价</w:t>
      </w:r>
      <w:r>
        <w:rPr>
          <w:rFonts w:hint="eastAsia" w:ascii="仿宋_GB2312" w:hAnsi="宋体" w:eastAsia="仿宋_GB2312"/>
          <w:b w:val="0"/>
          <w:bCs w:val="0"/>
          <w:color w:val="auto"/>
          <w:sz w:val="32"/>
          <w:szCs w:val="32"/>
          <w:lang w:eastAsia="zh-CN"/>
        </w:rPr>
        <w:t>由低到高确定拟成交供应商；</w:t>
      </w:r>
    </w:p>
    <w:p w14:paraId="17CB70DC">
      <w:pPr>
        <w:pStyle w:val="3"/>
        <w:ind w:firstLine="640" w:firstLineChars="200"/>
        <w:rPr>
          <w:rFonts w:hint="eastAsia"/>
          <w:b w:val="0"/>
          <w:bCs w:val="0"/>
          <w:color w:val="auto"/>
          <w:lang w:eastAsia="zh-CN"/>
        </w:rPr>
      </w:pPr>
      <w:r>
        <w:rPr>
          <w:rFonts w:hint="eastAsia" w:ascii="仿宋_GB2312" w:hAnsi="仿宋" w:eastAsia="仿宋_GB2312" w:cs="仿宋_GB2312"/>
          <w:b w:val="0"/>
          <w:bCs w:val="0"/>
          <w:color w:val="auto"/>
          <w:kern w:val="0"/>
          <w:sz w:val="32"/>
          <w:szCs w:val="32"/>
          <w:highlight w:val="none"/>
          <w:lang w:val="en-US" w:eastAsia="zh-CN" w:bidi="en-US"/>
        </w:rPr>
        <w:t>3.2.2如果有效总报价在预测价之外，</w:t>
      </w:r>
      <w:r>
        <w:rPr>
          <w:rFonts w:hint="eastAsia" w:ascii="仿宋_GB2312" w:hAnsi="宋体" w:eastAsia="仿宋_GB2312"/>
          <w:b w:val="0"/>
          <w:bCs w:val="0"/>
          <w:color w:val="auto"/>
          <w:sz w:val="32"/>
          <w:szCs w:val="32"/>
          <w:lang w:eastAsia="zh-CN"/>
        </w:rPr>
        <w:t>只</w:t>
      </w:r>
      <w:r>
        <w:rPr>
          <w:rFonts w:hint="eastAsia" w:ascii="仿宋_GB2312" w:hAnsi="宋体" w:eastAsia="仿宋_GB2312"/>
          <w:b w:val="0"/>
          <w:bCs w:val="0"/>
          <w:color w:val="auto"/>
          <w:sz w:val="32"/>
          <w:szCs w:val="32"/>
        </w:rPr>
        <w:t>与</w:t>
      </w:r>
      <w:r>
        <w:rPr>
          <w:rFonts w:hint="eastAsia" w:ascii="仿宋_GB2312" w:hAnsi="宋体" w:eastAsia="仿宋_GB2312"/>
          <w:b w:val="0"/>
          <w:bCs w:val="0"/>
          <w:color w:val="auto"/>
          <w:sz w:val="32"/>
          <w:szCs w:val="32"/>
          <w:lang w:eastAsia="zh-CN"/>
        </w:rPr>
        <w:t>有效总</w:t>
      </w:r>
      <w:r>
        <w:rPr>
          <w:rFonts w:hint="eastAsia" w:ascii="仿宋_GB2312" w:hAnsi="宋体" w:eastAsia="仿宋_GB2312"/>
          <w:b w:val="0"/>
          <w:bCs w:val="0"/>
          <w:color w:val="auto"/>
          <w:sz w:val="32"/>
          <w:szCs w:val="32"/>
        </w:rPr>
        <w:t>报价</w:t>
      </w:r>
      <w:r>
        <w:rPr>
          <w:rFonts w:hint="eastAsia" w:ascii="仿宋_GB2312" w:hAnsi="宋体" w:eastAsia="仿宋_GB2312"/>
          <w:b w:val="0"/>
          <w:bCs w:val="0"/>
          <w:color w:val="auto"/>
          <w:sz w:val="32"/>
          <w:szCs w:val="32"/>
          <w:lang w:eastAsia="zh-CN"/>
        </w:rPr>
        <w:t>在保供家数范围内的报价</w:t>
      </w:r>
      <w:r>
        <w:rPr>
          <w:rFonts w:hint="eastAsia" w:ascii="仿宋_GB2312" w:hAnsi="宋体" w:eastAsia="仿宋_GB2312"/>
          <w:b w:val="0"/>
          <w:bCs w:val="0"/>
          <w:color w:val="auto"/>
          <w:sz w:val="32"/>
          <w:szCs w:val="32"/>
        </w:rPr>
        <w:t>投标方协商价格。</w:t>
      </w:r>
    </w:p>
    <w:p w14:paraId="126DC5FD">
      <w:pPr>
        <w:spacing w:line="560" w:lineRule="exact"/>
        <w:ind w:firstLine="640" w:firstLineChars="200"/>
        <w:rPr>
          <w:rFonts w:hint="eastAsia" w:ascii="仿宋_GB2312" w:hAnsi="宋体" w:eastAsia="仿宋_GB2312"/>
          <w:b w:val="0"/>
          <w:bCs w:val="0"/>
          <w:color w:val="auto"/>
          <w:sz w:val="32"/>
          <w:szCs w:val="32"/>
          <w:lang w:val="en-US" w:eastAsia="zh-CN"/>
        </w:rPr>
      </w:pPr>
      <w:r>
        <w:rPr>
          <w:rFonts w:hint="eastAsia" w:ascii="仿宋_GB2312" w:hAnsi="宋体" w:eastAsia="仿宋_GB2312"/>
          <w:b w:val="0"/>
          <w:bCs w:val="0"/>
          <w:color w:val="auto"/>
          <w:sz w:val="32"/>
          <w:szCs w:val="32"/>
          <w:lang w:val="en-US" w:eastAsia="zh-CN"/>
        </w:rPr>
        <w:t>3.2.3</w:t>
      </w:r>
      <w:r>
        <w:rPr>
          <w:rFonts w:hint="eastAsia" w:ascii="仿宋_GB2312" w:eastAsia="仿宋_GB2312"/>
          <w:b w:val="0"/>
          <w:bCs w:val="0"/>
          <w:color w:val="auto"/>
          <w:sz w:val="32"/>
          <w:szCs w:val="32"/>
        </w:rPr>
        <w:t>同一组合标内单品种规格报价与相对应的</w:t>
      </w:r>
      <w:r>
        <w:rPr>
          <w:rFonts w:hint="eastAsia" w:ascii="仿宋_GB2312" w:eastAsia="仿宋_GB2312"/>
          <w:b w:val="0"/>
          <w:bCs w:val="0"/>
          <w:color w:val="auto"/>
          <w:sz w:val="32"/>
          <w:szCs w:val="32"/>
          <w:lang w:eastAsia="zh-CN"/>
        </w:rPr>
        <w:t>预测</w:t>
      </w:r>
      <w:r>
        <w:rPr>
          <w:rFonts w:hint="eastAsia" w:ascii="仿宋_GB2312" w:eastAsia="仿宋_GB2312"/>
          <w:b w:val="0"/>
          <w:bCs w:val="0"/>
          <w:color w:val="auto"/>
          <w:sz w:val="32"/>
          <w:szCs w:val="32"/>
        </w:rPr>
        <w:t>价</w:t>
      </w:r>
      <w:r>
        <w:rPr>
          <w:rFonts w:hint="eastAsia" w:ascii="仿宋_GB2312" w:eastAsia="仿宋_GB2312"/>
          <w:b w:val="0"/>
          <w:bCs w:val="0"/>
          <w:color w:val="auto"/>
          <w:sz w:val="32"/>
          <w:szCs w:val="32"/>
          <w:highlight w:val="none"/>
        </w:rPr>
        <w:t>相比</w:t>
      </w:r>
      <w:r>
        <w:rPr>
          <w:rFonts w:hint="eastAsia" w:ascii="仿宋_GB2312" w:hAnsi="宋体" w:eastAsia="仿宋_GB2312"/>
          <w:b w:val="0"/>
          <w:bCs w:val="0"/>
          <w:color w:val="auto"/>
          <w:sz w:val="32"/>
          <w:szCs w:val="32"/>
          <w:highlight w:val="none"/>
        </w:rPr>
        <w:t>涨幅超</w:t>
      </w:r>
      <w:r>
        <w:rPr>
          <w:rFonts w:hint="eastAsia" w:ascii="仿宋_GB2312" w:hAnsi="宋体" w:eastAsia="仿宋_GB2312"/>
          <w:b w:val="0"/>
          <w:bCs w:val="0"/>
          <w:color w:val="auto"/>
          <w:sz w:val="32"/>
          <w:szCs w:val="32"/>
          <w:highlight w:val="none"/>
          <w:lang w:val="en-US" w:eastAsia="zh-CN"/>
        </w:rPr>
        <w:t>10%</w:t>
      </w:r>
      <w:r>
        <w:rPr>
          <w:rFonts w:hint="eastAsia" w:ascii="仿宋_GB2312" w:hAnsi="宋体" w:eastAsia="仿宋_GB2312"/>
          <w:b w:val="0"/>
          <w:bCs w:val="0"/>
          <w:color w:val="auto"/>
          <w:sz w:val="32"/>
          <w:szCs w:val="32"/>
          <w:highlight w:val="none"/>
        </w:rPr>
        <w:t>的品种规格</w:t>
      </w:r>
      <w:r>
        <w:rPr>
          <w:rFonts w:hint="eastAsia" w:ascii="仿宋_GB2312" w:eastAsia="仿宋_GB2312"/>
          <w:b w:val="0"/>
          <w:bCs w:val="0"/>
          <w:color w:val="auto"/>
          <w:sz w:val="32"/>
          <w:szCs w:val="32"/>
          <w:highlight w:val="none"/>
        </w:rPr>
        <w:t>视为</w:t>
      </w:r>
      <w:r>
        <w:rPr>
          <w:rFonts w:hint="eastAsia" w:ascii="仿宋_GB2312" w:hAnsi="宋体" w:eastAsia="仿宋_GB2312"/>
          <w:b w:val="0"/>
          <w:bCs w:val="0"/>
          <w:color w:val="auto"/>
          <w:sz w:val="32"/>
          <w:szCs w:val="32"/>
          <w:highlight w:val="none"/>
        </w:rPr>
        <w:t>超调项</w:t>
      </w:r>
      <w:r>
        <w:rPr>
          <w:rFonts w:hint="eastAsia" w:ascii="仿宋_GB2312" w:eastAsia="仿宋_GB2312"/>
          <w:b w:val="0"/>
          <w:bCs w:val="0"/>
          <w:color w:val="auto"/>
          <w:sz w:val="32"/>
          <w:szCs w:val="32"/>
        </w:rPr>
        <w:t>。</w:t>
      </w:r>
    </w:p>
    <w:p w14:paraId="4AA2B3AA">
      <w:pPr>
        <w:spacing w:line="560" w:lineRule="exact"/>
        <w:ind w:firstLine="640" w:firstLineChars="200"/>
        <w:rPr>
          <w:rFonts w:hint="eastAsia" w:ascii="仿宋_GB2312" w:hAnsi="宋体" w:eastAsia="仿宋_GB2312"/>
          <w:b w:val="0"/>
          <w:bCs w:val="0"/>
          <w:color w:val="auto"/>
          <w:sz w:val="32"/>
          <w:szCs w:val="32"/>
          <w:highlight w:val="red"/>
          <w:lang w:eastAsia="zh-CN"/>
        </w:rPr>
      </w:pPr>
      <w:r>
        <w:rPr>
          <w:rFonts w:hint="eastAsia" w:ascii="仿宋_GB2312" w:hAnsi="宋体" w:eastAsia="仿宋_GB2312"/>
          <w:b w:val="0"/>
          <w:bCs w:val="0"/>
          <w:color w:val="auto"/>
          <w:sz w:val="32"/>
          <w:szCs w:val="32"/>
        </w:rPr>
        <w:t>投标最低总报价在本次采购预测价格范围之内且无超调项的</w:t>
      </w:r>
      <w:r>
        <w:rPr>
          <w:rFonts w:hint="eastAsia" w:ascii="仿宋_GB2312" w:hAnsi="宋体" w:eastAsia="仿宋_GB2312"/>
          <w:b w:val="0"/>
          <w:bCs w:val="0"/>
          <w:color w:val="auto"/>
          <w:sz w:val="32"/>
          <w:szCs w:val="32"/>
          <w:lang w:eastAsia="zh-CN"/>
        </w:rPr>
        <w:t>成交</w:t>
      </w:r>
      <w:r>
        <w:rPr>
          <w:rFonts w:hint="eastAsia" w:ascii="仿宋_GB2312" w:hAnsi="宋体" w:eastAsia="仿宋_GB2312"/>
          <w:b w:val="0"/>
          <w:bCs w:val="0"/>
          <w:color w:val="auto"/>
          <w:sz w:val="32"/>
          <w:szCs w:val="32"/>
        </w:rPr>
        <w:t>价</w:t>
      </w:r>
      <w:r>
        <w:rPr>
          <w:rFonts w:hint="eastAsia" w:ascii="仿宋_GB2312" w:hAnsi="宋体" w:eastAsia="仿宋_GB2312"/>
          <w:b w:val="0"/>
          <w:bCs w:val="0"/>
          <w:color w:val="auto"/>
          <w:sz w:val="32"/>
          <w:szCs w:val="32"/>
          <w:highlight w:val="none"/>
        </w:rPr>
        <w:t>和</w:t>
      </w:r>
      <w:r>
        <w:rPr>
          <w:rFonts w:hint="eastAsia" w:ascii="仿宋_GB2312" w:hAnsi="宋体" w:eastAsia="仿宋_GB2312"/>
          <w:b w:val="0"/>
          <w:bCs w:val="0"/>
          <w:color w:val="auto"/>
          <w:sz w:val="32"/>
          <w:szCs w:val="32"/>
          <w:highlight w:val="none"/>
          <w:lang w:eastAsia="zh-CN"/>
        </w:rPr>
        <w:t>成交</w:t>
      </w:r>
      <w:r>
        <w:rPr>
          <w:rFonts w:hint="eastAsia" w:ascii="仿宋_GB2312" w:hAnsi="宋体" w:eastAsia="仿宋_GB2312"/>
          <w:b w:val="0"/>
          <w:bCs w:val="0"/>
          <w:color w:val="auto"/>
          <w:sz w:val="32"/>
          <w:szCs w:val="32"/>
          <w:highlight w:val="none"/>
        </w:rPr>
        <w:t>方的确定</w:t>
      </w:r>
      <w:r>
        <w:rPr>
          <w:rFonts w:hint="eastAsia" w:ascii="仿宋_GB2312" w:hAnsi="宋体" w:eastAsia="仿宋_GB2312"/>
          <w:b w:val="0"/>
          <w:bCs w:val="0"/>
          <w:color w:val="auto"/>
          <w:sz w:val="32"/>
          <w:szCs w:val="32"/>
          <w:highlight w:val="none"/>
          <w:lang w:eastAsia="zh-CN"/>
        </w:rPr>
        <w:t>：</w:t>
      </w:r>
    </w:p>
    <w:p w14:paraId="58164436">
      <w:pPr>
        <w:spacing w:line="560" w:lineRule="exact"/>
        <w:ind w:firstLine="640" w:firstLineChars="200"/>
        <w:rPr>
          <w:rFonts w:hint="default" w:ascii="仿宋_GB2312" w:hAnsi="宋体" w:eastAsia="仿宋_GB2312"/>
          <w:b w:val="0"/>
          <w:bCs w:val="0"/>
          <w:color w:val="auto"/>
          <w:sz w:val="32"/>
          <w:szCs w:val="32"/>
          <w:highlight w:val="none"/>
          <w:lang w:val="en-US" w:eastAsia="zh-CN"/>
        </w:rPr>
      </w:pPr>
      <w:r>
        <w:rPr>
          <w:rFonts w:hint="eastAsia" w:ascii="仿宋_GB2312" w:hAnsi="宋体" w:eastAsia="仿宋_GB2312"/>
          <w:b w:val="0"/>
          <w:bCs w:val="0"/>
          <w:color w:val="auto"/>
          <w:sz w:val="32"/>
          <w:szCs w:val="32"/>
        </w:rPr>
        <w:t>取预测</w:t>
      </w:r>
      <w:r>
        <w:rPr>
          <w:rFonts w:hint="eastAsia" w:ascii="仿宋_GB2312" w:hAnsi="宋体" w:eastAsia="仿宋_GB2312"/>
          <w:b w:val="0"/>
          <w:bCs w:val="0"/>
          <w:color w:val="auto"/>
          <w:sz w:val="32"/>
          <w:szCs w:val="32"/>
          <w:lang w:eastAsia="zh-CN"/>
        </w:rPr>
        <w:t>总</w:t>
      </w:r>
      <w:r>
        <w:rPr>
          <w:rFonts w:hint="eastAsia" w:ascii="仿宋_GB2312" w:hAnsi="宋体" w:eastAsia="仿宋_GB2312"/>
          <w:b w:val="0"/>
          <w:bCs w:val="0"/>
          <w:color w:val="auto"/>
          <w:sz w:val="32"/>
          <w:szCs w:val="32"/>
        </w:rPr>
        <w:t>价</w:t>
      </w:r>
      <w:r>
        <w:rPr>
          <w:rFonts w:hint="eastAsia" w:ascii="仿宋_GB2312" w:hAnsi="宋体" w:eastAsia="仿宋_GB2312"/>
          <w:b w:val="0"/>
          <w:bCs w:val="0"/>
          <w:color w:val="auto"/>
          <w:sz w:val="32"/>
          <w:szCs w:val="32"/>
          <w:lang w:eastAsia="zh-CN"/>
        </w:rPr>
        <w:t>由低到高在保供家数范围内</w:t>
      </w:r>
      <w:r>
        <w:rPr>
          <w:rFonts w:hint="eastAsia" w:ascii="仿宋_GB2312" w:hAnsi="宋体" w:eastAsia="仿宋_GB2312"/>
          <w:b w:val="0"/>
          <w:bCs w:val="0"/>
          <w:strike w:val="0"/>
          <w:dstrike w:val="0"/>
          <w:color w:val="auto"/>
          <w:sz w:val="32"/>
          <w:szCs w:val="32"/>
          <w:lang w:eastAsia="zh-CN"/>
        </w:rPr>
        <w:t>的</w:t>
      </w:r>
      <w:r>
        <w:rPr>
          <w:rFonts w:hint="eastAsia" w:ascii="仿宋_GB2312" w:hAnsi="宋体" w:eastAsia="仿宋_GB2312"/>
          <w:b w:val="0"/>
          <w:bCs w:val="0"/>
          <w:color w:val="auto"/>
          <w:sz w:val="32"/>
          <w:szCs w:val="32"/>
        </w:rPr>
        <w:t>总报价为</w:t>
      </w:r>
      <w:r>
        <w:rPr>
          <w:rFonts w:hint="eastAsia" w:ascii="仿宋_GB2312" w:hAnsi="宋体" w:eastAsia="仿宋_GB2312"/>
          <w:b w:val="0"/>
          <w:bCs w:val="0"/>
          <w:color w:val="auto"/>
          <w:sz w:val="32"/>
          <w:szCs w:val="32"/>
          <w:lang w:eastAsia="zh-CN"/>
        </w:rPr>
        <w:t>拟成交</w:t>
      </w:r>
      <w:r>
        <w:rPr>
          <w:rFonts w:hint="eastAsia" w:ascii="仿宋_GB2312" w:hAnsi="宋体" w:eastAsia="仿宋_GB2312"/>
          <w:b w:val="0"/>
          <w:bCs w:val="0"/>
          <w:color w:val="auto"/>
          <w:sz w:val="32"/>
          <w:szCs w:val="32"/>
        </w:rPr>
        <w:t>价格，</w:t>
      </w:r>
      <w:r>
        <w:rPr>
          <w:rFonts w:hint="eastAsia" w:ascii="仿宋_GB2312" w:hAnsi="宋体" w:eastAsia="仿宋_GB2312"/>
          <w:b w:val="0"/>
          <w:bCs w:val="0"/>
          <w:color w:val="auto"/>
          <w:sz w:val="32"/>
          <w:szCs w:val="32"/>
          <w:lang w:eastAsia="zh-CN"/>
        </w:rPr>
        <w:t>相应供应商</w:t>
      </w:r>
      <w:r>
        <w:rPr>
          <w:rFonts w:hint="eastAsia" w:ascii="仿宋_GB2312" w:hAnsi="宋体" w:eastAsia="仿宋_GB2312"/>
          <w:b w:val="0"/>
          <w:bCs w:val="0"/>
          <w:strike w:val="0"/>
          <w:dstrike w:val="0"/>
          <w:color w:val="auto"/>
          <w:sz w:val="32"/>
          <w:szCs w:val="32"/>
        </w:rPr>
        <w:t>为</w:t>
      </w:r>
      <w:r>
        <w:rPr>
          <w:rFonts w:hint="eastAsia" w:ascii="仿宋_GB2312" w:hAnsi="宋体" w:eastAsia="仿宋_GB2312"/>
          <w:b w:val="0"/>
          <w:bCs w:val="0"/>
          <w:strike w:val="0"/>
          <w:dstrike w:val="0"/>
          <w:color w:val="auto"/>
          <w:sz w:val="32"/>
          <w:szCs w:val="32"/>
          <w:lang w:eastAsia="zh-CN"/>
        </w:rPr>
        <w:t>成交</w:t>
      </w:r>
      <w:r>
        <w:rPr>
          <w:rFonts w:hint="eastAsia" w:ascii="仿宋_GB2312" w:hAnsi="宋体" w:eastAsia="仿宋_GB2312"/>
          <w:b w:val="0"/>
          <w:bCs w:val="0"/>
          <w:strike w:val="0"/>
          <w:dstrike w:val="0"/>
          <w:color w:val="auto"/>
          <w:sz w:val="32"/>
          <w:szCs w:val="32"/>
        </w:rPr>
        <w:t>供方。</w:t>
      </w:r>
      <w:r>
        <w:rPr>
          <w:rFonts w:hint="eastAsia" w:ascii="仿宋_GB2312" w:hAnsi="宋体" w:eastAsia="仿宋_GB2312"/>
          <w:b w:val="0"/>
          <w:bCs w:val="0"/>
          <w:color w:val="auto"/>
          <w:sz w:val="32"/>
          <w:szCs w:val="32"/>
        </w:rPr>
        <w:t>在采购预测价格范围之内总报价</w:t>
      </w:r>
      <w:r>
        <w:rPr>
          <w:rFonts w:hint="eastAsia" w:ascii="仿宋_GB2312" w:hAnsi="宋体" w:eastAsia="仿宋_GB2312"/>
          <w:b w:val="0"/>
          <w:bCs w:val="0"/>
          <w:color w:val="auto"/>
          <w:sz w:val="32"/>
          <w:szCs w:val="32"/>
          <w:lang w:eastAsia="zh-CN"/>
        </w:rPr>
        <w:t>相同供</w:t>
      </w:r>
      <w:r>
        <w:rPr>
          <w:rFonts w:hint="eastAsia" w:ascii="仿宋_GB2312" w:hAnsi="宋体" w:eastAsia="仿宋_GB2312"/>
          <w:b w:val="0"/>
          <w:bCs w:val="0"/>
          <w:color w:val="auto"/>
          <w:sz w:val="32"/>
          <w:szCs w:val="32"/>
        </w:rPr>
        <w:t>方多于</w:t>
      </w:r>
      <w:r>
        <w:rPr>
          <w:rFonts w:hint="eastAsia" w:ascii="仿宋_GB2312" w:hAnsi="宋体" w:eastAsia="仿宋_GB2312"/>
          <w:b w:val="0"/>
          <w:bCs w:val="0"/>
          <w:color w:val="auto"/>
          <w:sz w:val="32"/>
          <w:szCs w:val="32"/>
          <w:lang w:eastAsia="zh-CN"/>
        </w:rPr>
        <w:t>供保</w:t>
      </w:r>
      <w:r>
        <w:rPr>
          <w:rFonts w:hint="eastAsia" w:ascii="仿宋_GB2312" w:hAnsi="宋体" w:eastAsia="仿宋_GB2312"/>
          <w:b w:val="0"/>
          <w:bCs w:val="0"/>
          <w:color w:val="auto"/>
          <w:sz w:val="32"/>
          <w:szCs w:val="32"/>
        </w:rPr>
        <w:t>家</w:t>
      </w:r>
      <w:r>
        <w:rPr>
          <w:rFonts w:hint="eastAsia" w:ascii="仿宋_GB2312" w:hAnsi="宋体" w:eastAsia="仿宋_GB2312"/>
          <w:b w:val="0"/>
          <w:bCs w:val="0"/>
          <w:color w:val="auto"/>
          <w:sz w:val="32"/>
          <w:szCs w:val="32"/>
          <w:lang w:eastAsia="zh-CN"/>
        </w:rPr>
        <w:t>数</w:t>
      </w:r>
      <w:r>
        <w:rPr>
          <w:rFonts w:hint="eastAsia" w:ascii="仿宋_GB2312" w:hAnsi="宋体" w:eastAsia="仿宋_GB2312"/>
          <w:b w:val="0"/>
          <w:bCs w:val="0"/>
          <w:color w:val="auto"/>
          <w:sz w:val="32"/>
          <w:szCs w:val="32"/>
        </w:rPr>
        <w:t>时，按以下原则确定</w:t>
      </w:r>
      <w:r>
        <w:rPr>
          <w:rFonts w:hint="eastAsia" w:ascii="仿宋_GB2312" w:hAnsi="宋体" w:eastAsia="仿宋_GB2312"/>
          <w:b w:val="0"/>
          <w:bCs w:val="0"/>
          <w:color w:val="auto"/>
          <w:sz w:val="32"/>
          <w:szCs w:val="32"/>
          <w:lang w:eastAsia="zh-CN"/>
        </w:rPr>
        <w:t>成交</w:t>
      </w:r>
      <w:r>
        <w:rPr>
          <w:rFonts w:hint="eastAsia" w:ascii="仿宋_GB2312" w:hAnsi="宋体" w:eastAsia="仿宋_GB2312"/>
          <w:b w:val="0"/>
          <w:bCs w:val="0"/>
          <w:color w:val="auto"/>
          <w:sz w:val="32"/>
          <w:szCs w:val="32"/>
        </w:rPr>
        <w:t>供方：</w:t>
      </w:r>
      <w:r>
        <w:rPr>
          <w:rFonts w:hint="eastAsia" w:ascii="仿宋_GB2312" w:hAnsi="仿宋_GB2312" w:eastAsia="仿宋_GB2312" w:cs="仿宋_GB2312"/>
          <w:b w:val="0"/>
          <w:bCs w:val="0"/>
          <w:color w:val="auto"/>
          <w:sz w:val="32"/>
          <w:szCs w:val="32"/>
          <w:highlight w:val="none"/>
          <w:lang w:val="en-US" w:eastAsia="zh-CN"/>
        </w:rPr>
        <w:t>如供方均为鞍钢股份有限公司现有合格供方或均为本次报名的新进供方，按注册资金由多到少（如注册资金相同，则供方重新报价，但报价不得超过原始报价，低价成交）的原则确定成交方；如鞍钢股份有限公司现有合格供方与本次报名的新进供方价格相同，则由鞍钢股份有限公司现有合格供方优先成交。</w:t>
      </w:r>
    </w:p>
    <w:p w14:paraId="2BDA9A2F">
      <w:pPr>
        <w:numPr>
          <w:ilvl w:val="0"/>
          <w:numId w:val="0"/>
        </w:numPr>
        <w:ind w:leftChars="200"/>
        <w:rPr>
          <w:rFonts w:hint="eastAsia" w:ascii="仿宋_GB2312" w:eastAsia="仿宋_GB2312"/>
          <w:b w:val="0"/>
          <w:bCs w:val="0"/>
          <w:color w:val="auto"/>
          <w:sz w:val="32"/>
          <w:szCs w:val="32"/>
          <w:lang w:val="en-US" w:eastAsia="zh-CN"/>
        </w:rPr>
      </w:pPr>
      <w:r>
        <w:rPr>
          <w:rFonts w:hint="eastAsia" w:ascii="仿宋_GB2312" w:eastAsia="仿宋_GB2312"/>
          <w:b w:val="0"/>
          <w:bCs w:val="0"/>
          <w:color w:val="auto"/>
          <w:sz w:val="32"/>
          <w:szCs w:val="32"/>
          <w:lang w:val="en-US" w:eastAsia="zh-CN"/>
        </w:rPr>
        <w:t>四、保供原则</w:t>
      </w:r>
    </w:p>
    <w:p w14:paraId="007B15C3">
      <w:pPr>
        <w:widowControl/>
        <w:spacing w:line="560" w:lineRule="atLeast"/>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FF0000"/>
          <w:sz w:val="32"/>
          <w:szCs w:val="32"/>
          <w:lang w:val="en-US" w:eastAsia="zh-CN"/>
        </w:rPr>
        <w:t>1家保供</w:t>
      </w:r>
      <w:r>
        <w:rPr>
          <w:rFonts w:hint="eastAsia" w:ascii="仿宋_GB2312" w:hAnsi="仿宋_GB2312" w:eastAsia="仿宋_GB2312" w:cs="仿宋_GB2312"/>
          <w:b w:val="0"/>
          <w:bCs w:val="0"/>
          <w:color w:val="auto"/>
          <w:sz w:val="32"/>
          <w:szCs w:val="32"/>
          <w:lang w:val="en-US" w:eastAsia="zh-CN"/>
        </w:rPr>
        <w:t>，全量成交。</w:t>
      </w:r>
    </w:p>
    <w:p w14:paraId="3CCA11AC">
      <w:pPr>
        <w:widowControl/>
        <w:spacing w:line="560" w:lineRule="atLeast"/>
        <w:ind w:firstLine="320" w:firstLineChars="100"/>
        <w:rPr>
          <w:b w:val="0"/>
          <w:bCs w:val="0"/>
          <w:color w:val="auto"/>
        </w:rPr>
      </w:pPr>
      <w:r>
        <w:rPr>
          <w:rFonts w:hint="eastAsia" w:ascii="仿宋_GB2312" w:hAnsi="仿宋_GB2312" w:eastAsia="仿宋_GB2312" w:cs="仿宋_GB2312"/>
          <w:b w:val="0"/>
          <w:bCs w:val="0"/>
          <w:color w:val="auto"/>
          <w:sz w:val="32"/>
          <w:szCs w:val="32"/>
          <w:lang w:val="en-US" w:eastAsia="zh-CN"/>
        </w:rPr>
        <w:t>五、其它未尽事宜，由评标委员会讨论确定。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34"/>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仿宋_GB2312">
    <w:altName w:val="方正仿宋_GBK"/>
    <w:panose1 w:val="00000000000000000000"/>
    <w:charset w:val="86"/>
    <w:family w:val="auto"/>
    <w:pitch w:val="default"/>
    <w:sig w:usb0="00000000" w:usb1="00000000"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D349B0"/>
    <w:multiLevelType w:val="singleLevel"/>
    <w:tmpl w:val="DCD349B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RiYTJkNTc5YzhlYTJiODRmZTI3OTc2NGE3ZmE3YjkifQ=="/>
  </w:docVars>
  <w:rsids>
    <w:rsidRoot w:val="450856AA"/>
    <w:rsid w:val="00884A7F"/>
    <w:rsid w:val="00C30D3F"/>
    <w:rsid w:val="00D46DB6"/>
    <w:rsid w:val="00D660DF"/>
    <w:rsid w:val="013F458A"/>
    <w:rsid w:val="03182219"/>
    <w:rsid w:val="034B7668"/>
    <w:rsid w:val="047814C9"/>
    <w:rsid w:val="0509600B"/>
    <w:rsid w:val="051F1CB7"/>
    <w:rsid w:val="061C7D1F"/>
    <w:rsid w:val="06917807"/>
    <w:rsid w:val="06F64C33"/>
    <w:rsid w:val="082C4FD9"/>
    <w:rsid w:val="08405FD8"/>
    <w:rsid w:val="08723E83"/>
    <w:rsid w:val="087A48C6"/>
    <w:rsid w:val="087E75D7"/>
    <w:rsid w:val="08C43E89"/>
    <w:rsid w:val="08F86E36"/>
    <w:rsid w:val="091E0903"/>
    <w:rsid w:val="095B58EE"/>
    <w:rsid w:val="09F27DDA"/>
    <w:rsid w:val="0AD15EC7"/>
    <w:rsid w:val="0B9D32BD"/>
    <w:rsid w:val="0BFE7491"/>
    <w:rsid w:val="0C2B3FC0"/>
    <w:rsid w:val="0C7E0262"/>
    <w:rsid w:val="0C83558D"/>
    <w:rsid w:val="0CE00EB6"/>
    <w:rsid w:val="0DF65E23"/>
    <w:rsid w:val="0E2A2FE9"/>
    <w:rsid w:val="0FAC3D16"/>
    <w:rsid w:val="10935273"/>
    <w:rsid w:val="112A7124"/>
    <w:rsid w:val="1145407B"/>
    <w:rsid w:val="128B4945"/>
    <w:rsid w:val="13046CC8"/>
    <w:rsid w:val="13837718"/>
    <w:rsid w:val="142A5A54"/>
    <w:rsid w:val="144B6BFC"/>
    <w:rsid w:val="175F44D4"/>
    <w:rsid w:val="179C1A9C"/>
    <w:rsid w:val="17FC5564"/>
    <w:rsid w:val="18B53C0A"/>
    <w:rsid w:val="18C83842"/>
    <w:rsid w:val="18F52C0F"/>
    <w:rsid w:val="19597B25"/>
    <w:rsid w:val="1A347760"/>
    <w:rsid w:val="1A3B3238"/>
    <w:rsid w:val="1A936F2F"/>
    <w:rsid w:val="1B9C5EEA"/>
    <w:rsid w:val="1BF920F3"/>
    <w:rsid w:val="1C766567"/>
    <w:rsid w:val="1DD85D3E"/>
    <w:rsid w:val="221E23B2"/>
    <w:rsid w:val="22486A5F"/>
    <w:rsid w:val="22613BCB"/>
    <w:rsid w:val="23AB1D37"/>
    <w:rsid w:val="25E122E0"/>
    <w:rsid w:val="265B3384"/>
    <w:rsid w:val="26763A66"/>
    <w:rsid w:val="2767507F"/>
    <w:rsid w:val="29D5047E"/>
    <w:rsid w:val="29FC6005"/>
    <w:rsid w:val="2AA35840"/>
    <w:rsid w:val="2AA35DE1"/>
    <w:rsid w:val="2ABE7230"/>
    <w:rsid w:val="2BAA5E31"/>
    <w:rsid w:val="2C69195C"/>
    <w:rsid w:val="2D2A6742"/>
    <w:rsid w:val="2D8C1F72"/>
    <w:rsid w:val="2FF17E3B"/>
    <w:rsid w:val="32BFE6D4"/>
    <w:rsid w:val="331C47DA"/>
    <w:rsid w:val="3467557E"/>
    <w:rsid w:val="350F5ACA"/>
    <w:rsid w:val="37086DCA"/>
    <w:rsid w:val="37246FE3"/>
    <w:rsid w:val="3A5B4E35"/>
    <w:rsid w:val="3A654830"/>
    <w:rsid w:val="3B531D6C"/>
    <w:rsid w:val="3C2E16E4"/>
    <w:rsid w:val="3D055010"/>
    <w:rsid w:val="3D3274A2"/>
    <w:rsid w:val="3DB37091"/>
    <w:rsid w:val="3DCF7820"/>
    <w:rsid w:val="3DF024DB"/>
    <w:rsid w:val="3E3F45B1"/>
    <w:rsid w:val="3F2F2BEF"/>
    <w:rsid w:val="3F326FF5"/>
    <w:rsid w:val="3FAF124F"/>
    <w:rsid w:val="40AE0F6C"/>
    <w:rsid w:val="414A5E6B"/>
    <w:rsid w:val="41A747FE"/>
    <w:rsid w:val="432D3A55"/>
    <w:rsid w:val="44636D77"/>
    <w:rsid w:val="450856AA"/>
    <w:rsid w:val="454F28B8"/>
    <w:rsid w:val="4612018A"/>
    <w:rsid w:val="46966078"/>
    <w:rsid w:val="472733E7"/>
    <w:rsid w:val="47F96322"/>
    <w:rsid w:val="485605B6"/>
    <w:rsid w:val="494E00F2"/>
    <w:rsid w:val="49D971BC"/>
    <w:rsid w:val="4A0455F7"/>
    <w:rsid w:val="4A3B1F00"/>
    <w:rsid w:val="4AFA64ED"/>
    <w:rsid w:val="4BC81C2B"/>
    <w:rsid w:val="4C1D1D23"/>
    <w:rsid w:val="4C681932"/>
    <w:rsid w:val="4D3B05C1"/>
    <w:rsid w:val="4D5620E3"/>
    <w:rsid w:val="4DDA65BC"/>
    <w:rsid w:val="4DEF13C0"/>
    <w:rsid w:val="4E581B9D"/>
    <w:rsid w:val="4EC56D56"/>
    <w:rsid w:val="4ED00146"/>
    <w:rsid w:val="4ED14B75"/>
    <w:rsid w:val="4F1A1BE0"/>
    <w:rsid w:val="4F2E35CB"/>
    <w:rsid w:val="4F433F55"/>
    <w:rsid w:val="4FB32F70"/>
    <w:rsid w:val="4FCC3CBD"/>
    <w:rsid w:val="4FDE43F4"/>
    <w:rsid w:val="51065A2C"/>
    <w:rsid w:val="52850878"/>
    <w:rsid w:val="53892952"/>
    <w:rsid w:val="5676672E"/>
    <w:rsid w:val="56B31602"/>
    <w:rsid w:val="56BEEEB4"/>
    <w:rsid w:val="56C96F4C"/>
    <w:rsid w:val="572B6932"/>
    <w:rsid w:val="57547E95"/>
    <w:rsid w:val="57794752"/>
    <w:rsid w:val="577F5543"/>
    <w:rsid w:val="580A41C9"/>
    <w:rsid w:val="586735E7"/>
    <w:rsid w:val="591823D9"/>
    <w:rsid w:val="59C83E35"/>
    <w:rsid w:val="5A5530BB"/>
    <w:rsid w:val="5AB257E2"/>
    <w:rsid w:val="5AE11202"/>
    <w:rsid w:val="5AE318E3"/>
    <w:rsid w:val="5B1F5B8A"/>
    <w:rsid w:val="5B9D06B6"/>
    <w:rsid w:val="5C0039EF"/>
    <w:rsid w:val="5C9325B7"/>
    <w:rsid w:val="5CA474AA"/>
    <w:rsid w:val="5D846330"/>
    <w:rsid w:val="5EBFDFBD"/>
    <w:rsid w:val="5F9709D3"/>
    <w:rsid w:val="606A6769"/>
    <w:rsid w:val="60763E96"/>
    <w:rsid w:val="60C27437"/>
    <w:rsid w:val="630E0C2D"/>
    <w:rsid w:val="63A635BB"/>
    <w:rsid w:val="642C78C2"/>
    <w:rsid w:val="657D57C5"/>
    <w:rsid w:val="67423330"/>
    <w:rsid w:val="67B9655F"/>
    <w:rsid w:val="68AA3B9E"/>
    <w:rsid w:val="69366CBB"/>
    <w:rsid w:val="693F1EEA"/>
    <w:rsid w:val="69B049DB"/>
    <w:rsid w:val="69D47165"/>
    <w:rsid w:val="69F3028D"/>
    <w:rsid w:val="6A884BC6"/>
    <w:rsid w:val="6AE60E4C"/>
    <w:rsid w:val="6BE814E1"/>
    <w:rsid w:val="6C9C553F"/>
    <w:rsid w:val="6CA94AFF"/>
    <w:rsid w:val="6CBC3F22"/>
    <w:rsid w:val="6DDC3922"/>
    <w:rsid w:val="6DFB2E7E"/>
    <w:rsid w:val="6F253562"/>
    <w:rsid w:val="6FA647CA"/>
    <w:rsid w:val="6FD4756A"/>
    <w:rsid w:val="700A6689"/>
    <w:rsid w:val="706F4935"/>
    <w:rsid w:val="720D2F61"/>
    <w:rsid w:val="72DB0CC8"/>
    <w:rsid w:val="73175B76"/>
    <w:rsid w:val="735D354F"/>
    <w:rsid w:val="736D25C4"/>
    <w:rsid w:val="73752492"/>
    <w:rsid w:val="74045816"/>
    <w:rsid w:val="7571034B"/>
    <w:rsid w:val="75765462"/>
    <w:rsid w:val="765C79AC"/>
    <w:rsid w:val="76855677"/>
    <w:rsid w:val="771E5190"/>
    <w:rsid w:val="77DECE9D"/>
    <w:rsid w:val="78155805"/>
    <w:rsid w:val="78667855"/>
    <w:rsid w:val="786C1DBF"/>
    <w:rsid w:val="790F37F8"/>
    <w:rsid w:val="79A319FF"/>
    <w:rsid w:val="7A196A72"/>
    <w:rsid w:val="7A4E626A"/>
    <w:rsid w:val="7B524221"/>
    <w:rsid w:val="7CA2476D"/>
    <w:rsid w:val="7D6815E1"/>
    <w:rsid w:val="7DF7241E"/>
    <w:rsid w:val="7DFFE539"/>
    <w:rsid w:val="7E0740B3"/>
    <w:rsid w:val="7E322155"/>
    <w:rsid w:val="7E680689"/>
    <w:rsid w:val="7E7F9F2F"/>
    <w:rsid w:val="7F9B6C03"/>
    <w:rsid w:val="7FA80632"/>
    <w:rsid w:val="7FDFAE3B"/>
    <w:rsid w:val="7FFDCD34"/>
    <w:rsid w:val="81DEE5DF"/>
    <w:rsid w:val="8FCE9CF1"/>
    <w:rsid w:val="BD7302C6"/>
    <w:rsid w:val="BE473E3C"/>
    <w:rsid w:val="BE6B0EA2"/>
    <w:rsid w:val="CAF26984"/>
    <w:rsid w:val="D7FF1ED1"/>
    <w:rsid w:val="D9FFE813"/>
    <w:rsid w:val="EEFE727D"/>
    <w:rsid w:val="EFD16EFC"/>
    <w:rsid w:val="EFFB6F14"/>
    <w:rsid w:val="F2BAB726"/>
    <w:rsid w:val="F78FC996"/>
    <w:rsid w:val="F7DCCCF3"/>
    <w:rsid w:val="F7FF73EA"/>
    <w:rsid w:val="FF46485A"/>
    <w:rsid w:val="FF6EC52E"/>
    <w:rsid w:val="FFF72E59"/>
    <w:rsid w:val="FFF777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Plain Text"/>
    <w:basedOn w:val="1"/>
    <w:next w:val="4"/>
    <w:qFormat/>
    <w:uiPriority w:val="0"/>
    <w:rPr>
      <w:rFonts w:ascii="宋体" w:hAnsi="Courier New"/>
      <w:szCs w:val="20"/>
    </w:rPr>
  </w:style>
  <w:style w:type="paragraph" w:styleId="4">
    <w:name w:val="Block Text"/>
    <w:basedOn w:val="1"/>
    <w:qFormat/>
    <w:uiPriority w:val="0"/>
    <w:pPr>
      <w:widowControl/>
      <w:spacing w:line="360" w:lineRule="auto"/>
      <w:ind w:left="432" w:right="-1"/>
      <w:jc w:val="left"/>
    </w:pPr>
    <w:rPr>
      <w:rFonts w:ascii="宋体" w:hAnsi="宋体"/>
      <w:kern w:val="0"/>
      <w:sz w:val="24"/>
    </w:rPr>
  </w:style>
  <w:style w:type="paragraph" w:styleId="5">
    <w:name w:val="annotation text"/>
    <w:basedOn w:val="1"/>
    <w:qFormat/>
    <w:uiPriority w:val="0"/>
    <w:pPr>
      <w:jc w:val="left"/>
    </w:pPr>
  </w:style>
  <w:style w:type="paragraph" w:styleId="6">
    <w:name w:val="Date"/>
    <w:basedOn w:val="1"/>
    <w:next w:val="1"/>
    <w:qFormat/>
    <w:uiPriority w:val="0"/>
    <w:pPr>
      <w:ind w:left="100" w:leftChars="2500"/>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1291</Words>
  <Characters>1347</Characters>
  <Lines>0</Lines>
  <Paragraphs>0</Paragraphs>
  <TotalTime>43</TotalTime>
  <ScaleCrop>false</ScaleCrop>
  <LinksUpToDate>false</LinksUpToDate>
  <CharactersWithSpaces>1351</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2025-12-07T05:39:00Z</dcterms:created>
  <dc:creator>董宝军</dc:creator>
  <cp:lastModifiedBy>xn431700</cp:lastModifiedBy>
  <dcterms:modified xsi:type="dcterms:W3CDTF">2026-08-04T13:58:33Z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93B3AB0C70B2642EC415676A0522D6CF_43</vt:lpwstr>
  </property>
  <property fmtid="{D5CDD505-2E9C-101B-9397-08002B2CF9AE}" pid="4" name="KSOTemplateDocerSaveRecord">
    <vt:lpwstr>eyJoZGlkIjoiNjhmYWVjNjAzZjYwYzI0NWI3OWY0NDViMzMxNTUxMmMiLCJ1c2VySWQiOiI3NTg5OTk4NzEifQ==</vt:lpwstr>
  </property>
</Properties>
</file>