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val="0"/>
        <w:autoSpaceDN w:val="0"/>
        <w:bidi w:val="0"/>
        <w:adjustRightInd w:val="0"/>
        <w:snapToGrid w:val="0"/>
        <w:spacing w:line="520" w:lineRule="exact"/>
        <w:jc w:val="center"/>
        <w:textAlignment w:val="bottom"/>
        <w:rPr>
          <w:rFonts w:hint="eastAsia" w:ascii="宋体" w:hAnsi="宋体" w:cs="宋体"/>
          <w:b/>
          <w:bCs/>
          <w:sz w:val="44"/>
          <w:szCs w:val="44"/>
          <w:lang w:val="en-US" w:eastAsia="zh-CN"/>
        </w:rPr>
      </w:pPr>
      <w:r>
        <w:rPr>
          <w:rFonts w:hint="eastAsia" w:ascii="宋体" w:hAnsi="宋体" w:cs="宋体"/>
          <w:b/>
          <w:bCs/>
          <w:sz w:val="44"/>
          <w:szCs w:val="44"/>
          <w:lang w:val="en-US" w:eastAsia="zh-CN"/>
        </w:rPr>
        <w:t>镀锌机组电气成套设备公开招标要求</w:t>
      </w:r>
    </w:p>
    <w:p>
      <w:pPr>
        <w:keepNext w:val="0"/>
        <w:keepLines w:val="0"/>
        <w:pageBreakBefore w:val="0"/>
        <w:widowControl/>
        <w:kinsoku/>
        <w:wordWrap/>
        <w:overflowPunct/>
        <w:topLinePunct w:val="0"/>
        <w:autoSpaceDE w:val="0"/>
        <w:autoSpaceDN w:val="0"/>
        <w:bidi w:val="0"/>
        <w:adjustRightInd w:val="0"/>
        <w:snapToGrid w:val="0"/>
        <w:spacing w:line="520" w:lineRule="exact"/>
        <w:jc w:val="center"/>
        <w:textAlignment w:val="bottom"/>
        <w:rPr>
          <w:rFonts w:hint="eastAsia" w:ascii="黑体" w:hAnsi="黑体" w:eastAsia="黑体" w:cs="黑体"/>
          <w:b/>
          <w:bCs/>
          <w:sz w:val="32"/>
          <w:szCs w:val="32"/>
        </w:rPr>
      </w:pPr>
      <w:r>
        <w:rPr>
          <w:rFonts w:hint="eastAsia" w:ascii="黑体" w:hAnsi="黑体" w:eastAsia="黑体" w:cs="黑体"/>
          <w:b/>
          <w:bCs/>
          <w:sz w:val="32"/>
          <w:szCs w:val="32"/>
        </w:rPr>
        <w:t>（</w:t>
      </w:r>
      <w:r>
        <w:rPr>
          <w:rFonts w:hint="eastAsia" w:ascii="黑体" w:hAnsi="黑体" w:eastAsia="黑体" w:cs="黑体"/>
          <w:b/>
          <w:bCs/>
          <w:sz w:val="32"/>
          <w:szCs w:val="32"/>
          <w:lang w:eastAsia="zh-CN"/>
        </w:rPr>
        <w:t>工程设备</w:t>
      </w:r>
      <w:r>
        <w:rPr>
          <w:rFonts w:hint="eastAsia" w:ascii="黑体" w:hAnsi="黑体" w:eastAsia="黑体" w:cs="黑体"/>
          <w:b/>
          <w:bCs/>
          <w:sz w:val="32"/>
          <w:szCs w:val="32"/>
        </w:rPr>
        <w:t>）</w:t>
      </w:r>
    </w:p>
    <w:p>
      <w:pPr>
        <w:keepNext w:val="0"/>
        <w:keepLines w:val="0"/>
        <w:pageBreakBefore w:val="0"/>
        <w:widowControl/>
        <w:kinsoku/>
        <w:wordWrap/>
        <w:overflowPunct/>
        <w:topLinePunct w:val="0"/>
        <w:autoSpaceDE w:val="0"/>
        <w:autoSpaceDN w:val="0"/>
        <w:bidi w:val="0"/>
        <w:adjustRightInd w:val="0"/>
        <w:snapToGrid w:val="0"/>
        <w:spacing w:line="520" w:lineRule="exact"/>
        <w:jc w:val="center"/>
        <w:textAlignment w:val="bottom"/>
        <w:rPr>
          <w:rFonts w:hint="eastAsia" w:ascii="黑体" w:hAnsi="黑体" w:eastAsia="黑体" w:cs="黑体"/>
          <w:b/>
          <w:bCs/>
          <w:sz w:val="32"/>
          <w:szCs w:val="32"/>
        </w:rPr>
      </w:pPr>
    </w:p>
    <w:p>
      <w:pPr>
        <w:keepNext w:val="0"/>
        <w:keepLines w:val="0"/>
        <w:pageBreakBefore w:val="0"/>
        <w:kinsoku/>
        <w:wordWrap/>
        <w:overflowPunct/>
        <w:topLinePunct w:val="0"/>
        <w:bidi w:val="0"/>
        <w:spacing w:line="520" w:lineRule="exact"/>
        <w:ind w:firstLine="640" w:firstLineChars="200"/>
        <w:jc w:val="left"/>
        <w:rPr>
          <w:rFonts w:ascii="黑体" w:hAnsi="黑体" w:eastAsia="黑体" w:cs="Times New Roman"/>
          <w:sz w:val="32"/>
          <w:szCs w:val="32"/>
        </w:rPr>
      </w:pPr>
      <w:r>
        <w:rPr>
          <w:rFonts w:ascii="黑体" w:hAnsi="黑体" w:eastAsia="黑体" w:cs="黑体"/>
          <w:sz w:val="32"/>
          <w:szCs w:val="32"/>
        </w:rPr>
        <w:t>1</w:t>
      </w:r>
      <w:r>
        <w:rPr>
          <w:rFonts w:hint="eastAsia" w:ascii="黑体" w:hAnsi="黑体" w:eastAsia="黑体" w:cs="黑体"/>
          <w:sz w:val="32"/>
          <w:szCs w:val="32"/>
        </w:rPr>
        <w:t>、商务要求</w:t>
      </w:r>
    </w:p>
    <w:p>
      <w:pPr>
        <w:keepNext w:val="0"/>
        <w:keepLines w:val="0"/>
        <w:pageBreakBefore w:val="0"/>
        <w:kinsoku/>
        <w:wordWrap/>
        <w:overflowPunct/>
        <w:topLinePunct w:val="0"/>
        <w:bidi w:val="0"/>
        <w:spacing w:line="520" w:lineRule="exact"/>
        <w:ind w:firstLine="640" w:firstLineChars="200"/>
        <w:jc w:val="left"/>
        <w:rPr>
          <w:rFonts w:hint="eastAsia" w:ascii="仿宋_GB2312" w:hAnsi="仿宋_GB2312" w:eastAsia="仿宋_GB2312" w:cs="仿宋_GB2312"/>
          <w:sz w:val="32"/>
          <w:szCs w:val="32"/>
        </w:rPr>
      </w:pPr>
      <w:r>
        <w:rPr>
          <w:rFonts w:ascii="仿宋_GB2312" w:hAnsi="仿宋_GB2312" w:eastAsia="仿宋_GB2312" w:cs="仿宋_GB2312"/>
          <w:sz w:val="32"/>
          <w:szCs w:val="32"/>
        </w:rPr>
        <w:t>1.1</w:t>
      </w:r>
      <w:r>
        <w:rPr>
          <w:rFonts w:hint="eastAsia" w:ascii="仿宋_GB2312" w:hAnsi="仿宋_GB2312" w:eastAsia="仿宋_GB2312" w:cs="仿宋_GB2312"/>
          <w:kern w:val="1"/>
          <w:sz w:val="32"/>
          <w:szCs w:val="32"/>
        </w:rPr>
        <w:t>招标公告发布之日为限，</w:t>
      </w:r>
      <w:r>
        <w:rPr>
          <w:rFonts w:hint="eastAsia" w:ascii="仿宋_GB2312" w:hAnsi="仿宋_GB2312" w:eastAsia="仿宋_GB2312" w:cs="仿宋_GB2312"/>
          <w:sz w:val="32"/>
          <w:szCs w:val="32"/>
        </w:rPr>
        <w:t>不接受工商注册成立时间未满</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年的供应商投标。</w:t>
      </w:r>
    </w:p>
    <w:p>
      <w:pPr>
        <w:keepNext w:val="0"/>
        <w:keepLines w:val="0"/>
        <w:pageBreakBefore w:val="0"/>
        <w:kinsoku/>
        <w:wordWrap/>
        <w:overflowPunct/>
        <w:topLinePunct w:val="0"/>
        <w:bidi w:val="0"/>
        <w:spacing w:line="520" w:lineRule="exact"/>
        <w:ind w:firstLine="640" w:firstLineChars="200"/>
        <w:jc w:val="left"/>
        <w:rPr>
          <w:rFonts w:ascii="仿宋_GB2312" w:hAnsi="仿宋_GB2312" w:eastAsia="仿宋_GB2312" w:cs="Times New Roman"/>
          <w:sz w:val="32"/>
          <w:szCs w:val="32"/>
        </w:rPr>
      </w:pPr>
      <w:r>
        <w:rPr>
          <w:rFonts w:ascii="仿宋_GB2312" w:hAnsi="仿宋_GB2312" w:eastAsia="仿宋_GB2312" w:cs="仿宋_GB2312"/>
          <w:sz w:val="32"/>
          <w:szCs w:val="32"/>
        </w:rPr>
        <w:t>1.2</w:t>
      </w:r>
      <w:r>
        <w:rPr>
          <w:rFonts w:hint="eastAsia" w:ascii="仿宋_GB2312" w:hAnsi="仿宋_GB2312" w:eastAsia="仿宋_GB2312" w:cs="仿宋_GB2312"/>
          <w:sz w:val="32"/>
          <w:szCs w:val="32"/>
        </w:rPr>
        <w:t>资格审核方式：资格</w:t>
      </w:r>
      <w:r>
        <w:rPr>
          <w:rFonts w:hint="eastAsia" w:ascii="仿宋_GB2312" w:hAnsi="仿宋_GB2312" w:eastAsia="仿宋_GB2312" w:cs="仿宋_GB2312"/>
          <w:sz w:val="32"/>
          <w:szCs w:val="32"/>
          <w:lang w:eastAsia="zh-CN"/>
        </w:rPr>
        <w:t>预审</w:t>
      </w:r>
      <w:r>
        <w:rPr>
          <w:rFonts w:hint="eastAsia" w:ascii="仿宋_GB2312" w:hAnsi="仿宋_GB2312" w:eastAsia="仿宋_GB2312" w:cs="仿宋_GB2312"/>
          <w:sz w:val="32"/>
          <w:szCs w:val="32"/>
        </w:rPr>
        <w:t>方式。对需要现场考察的供方由鞍钢股份</w:t>
      </w:r>
      <w:r>
        <w:rPr>
          <w:rFonts w:hint="eastAsia" w:ascii="仿宋_GB2312" w:hAnsi="仿宋_GB2312" w:eastAsia="仿宋_GB2312" w:cs="仿宋_GB2312"/>
          <w:sz w:val="32"/>
          <w:szCs w:val="32"/>
          <w:lang w:eastAsia="zh-CN"/>
        </w:rPr>
        <w:t>物资</w:t>
      </w:r>
      <w:r>
        <w:rPr>
          <w:rFonts w:hint="eastAsia" w:ascii="仿宋_GB2312" w:hAnsi="仿宋_GB2312" w:eastAsia="仿宋_GB2312" w:cs="仿宋_GB2312"/>
          <w:sz w:val="32"/>
          <w:szCs w:val="32"/>
        </w:rPr>
        <w:t>采购中心组织考察，对不需现场考察的直接形成评标报告转委托方定标。</w:t>
      </w:r>
    </w:p>
    <w:p>
      <w:pPr>
        <w:keepNext w:val="0"/>
        <w:keepLines w:val="0"/>
        <w:pageBreakBefore w:val="0"/>
        <w:kinsoku/>
        <w:wordWrap/>
        <w:overflowPunct/>
        <w:topLinePunct w:val="0"/>
        <w:bidi w:val="0"/>
        <w:spacing w:line="520" w:lineRule="exact"/>
        <w:ind w:firstLine="640" w:firstLineChars="200"/>
        <w:jc w:val="left"/>
        <w:rPr>
          <w:rFonts w:hint="eastAsia" w:ascii="仿宋_GB2312" w:hAnsi="仿宋_GB2312" w:eastAsia="仿宋_GB2312" w:cs="仿宋_GB2312"/>
          <w:sz w:val="32"/>
          <w:szCs w:val="32"/>
        </w:rPr>
      </w:pPr>
      <w:r>
        <w:rPr>
          <w:rFonts w:ascii="仿宋_GB2312" w:hAnsi="仿宋_GB2312" w:eastAsia="仿宋_GB2312" w:cs="仿宋_GB2312"/>
          <w:kern w:val="1"/>
          <w:sz w:val="32"/>
          <w:szCs w:val="32"/>
        </w:rPr>
        <w:t>1.3</w:t>
      </w:r>
      <w:r>
        <w:rPr>
          <w:rFonts w:hint="eastAsia" w:ascii="仿宋_GB2312" w:hAnsi="仿宋_GB2312" w:eastAsia="仿宋_GB2312" w:cs="仿宋_GB2312"/>
          <w:kern w:val="1"/>
          <w:sz w:val="32"/>
          <w:szCs w:val="32"/>
        </w:rPr>
        <w:t>评标办法：经评审的最低投标价法</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520" w:lineRule="exact"/>
        <w:ind w:firstLine="640" w:firstLineChars="200"/>
        <w:jc w:val="left"/>
        <w:rPr>
          <w:rFonts w:ascii="仿宋_GB2312" w:hAnsi="仿宋_GB2312" w:eastAsia="仿宋_GB2312" w:cs="Times New Roman"/>
          <w:kern w:val="1"/>
          <w:sz w:val="32"/>
          <w:szCs w:val="32"/>
        </w:rPr>
      </w:pPr>
      <w:r>
        <w:rPr>
          <w:rFonts w:ascii="仿宋_GB2312" w:hAnsi="仿宋_GB2312" w:eastAsia="仿宋_GB2312" w:cs="仿宋_GB2312"/>
          <w:kern w:val="1"/>
          <w:sz w:val="32"/>
          <w:szCs w:val="32"/>
        </w:rPr>
        <w:t>1.4</w:t>
      </w:r>
      <w:r>
        <w:rPr>
          <w:rFonts w:hint="eastAsia" w:ascii="仿宋_GB2312" w:hAnsi="仿宋_GB2312" w:eastAsia="仿宋_GB2312" w:cs="仿宋_GB2312"/>
          <w:kern w:val="1"/>
          <w:sz w:val="32"/>
          <w:szCs w:val="32"/>
        </w:rPr>
        <w:t>不接受联合体投标。</w:t>
      </w:r>
    </w:p>
    <w:p>
      <w:pPr>
        <w:keepNext w:val="0"/>
        <w:keepLines w:val="0"/>
        <w:pageBreakBefore w:val="0"/>
        <w:kinsoku/>
        <w:wordWrap/>
        <w:overflowPunct/>
        <w:topLinePunct w:val="0"/>
        <w:bidi w:val="0"/>
        <w:adjustRightInd w:val="0"/>
        <w:snapToGrid w:val="0"/>
        <w:spacing w:line="52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1.5</w:t>
      </w:r>
      <w:r>
        <w:rPr>
          <w:rFonts w:hint="eastAsia" w:ascii="仿宋_GB2312" w:hAnsi="仿宋_GB2312" w:eastAsia="仿宋_GB2312" w:cs="仿宋_GB2312"/>
          <w:sz w:val="32"/>
          <w:szCs w:val="32"/>
        </w:rPr>
        <w:t>企业类型：</w:t>
      </w:r>
      <w:r>
        <w:rPr>
          <w:rFonts w:hint="eastAsia" w:ascii="仿宋_GB2312" w:hAnsi="仿宋_GB2312" w:eastAsia="仿宋_GB2312" w:cs="仿宋_GB2312"/>
          <w:b/>
          <w:bCs/>
          <w:color w:val="FF0000"/>
          <w:kern w:val="0"/>
          <w:sz w:val="32"/>
          <w:szCs w:val="32"/>
          <w:lang w:val="en-US" w:eastAsia="zh-CN" w:bidi="ar-SA"/>
        </w:rPr>
        <w:t>生产型企业（包括系统集成型成套供货商）。</w:t>
      </w:r>
      <w:r>
        <w:rPr>
          <w:rFonts w:hint="eastAsia" w:ascii="仿宋_GB2312" w:hAnsi="仿宋_GB2312" w:eastAsia="仿宋_GB2312" w:cs="仿宋_GB2312"/>
          <w:sz w:val="32"/>
          <w:szCs w:val="32"/>
        </w:rPr>
        <w:t>投标人投标产品必须是全新、满足要求的合格产品。</w:t>
      </w:r>
    </w:p>
    <w:p>
      <w:pPr>
        <w:keepNext w:val="0"/>
        <w:keepLines w:val="0"/>
        <w:pageBreakBefore w:val="0"/>
        <w:kinsoku/>
        <w:wordWrap/>
        <w:overflowPunct/>
        <w:topLinePunct w:val="0"/>
        <w:bidi w:val="0"/>
        <w:adjustRightInd w:val="0"/>
        <w:snapToGrid w:val="0"/>
        <w:spacing w:line="520" w:lineRule="exact"/>
        <w:ind w:firstLine="640" w:firstLineChars="200"/>
        <w:rPr>
          <w:rFonts w:ascii="仿宋_GB2312" w:hAnsi="仿宋_GB2312" w:eastAsia="仿宋_GB2312" w:cs="Times New Roman"/>
          <w:kern w:val="1"/>
          <w:sz w:val="32"/>
          <w:szCs w:val="32"/>
        </w:rPr>
      </w:pPr>
      <w:r>
        <w:rPr>
          <w:rFonts w:ascii="仿宋_GB2312" w:hAnsi="仿宋_GB2312" w:eastAsia="仿宋_GB2312" w:cs="仿宋_GB2312"/>
          <w:sz w:val="32"/>
          <w:szCs w:val="32"/>
        </w:rPr>
        <w:t>1.6</w:t>
      </w:r>
      <w:r>
        <w:rPr>
          <w:rFonts w:hint="eastAsia" w:ascii="仿宋_GB2312" w:hAnsi="仿宋_GB2312" w:eastAsia="仿宋_GB2312" w:cs="仿宋_GB2312"/>
          <w:sz w:val="32"/>
          <w:szCs w:val="32"/>
        </w:rPr>
        <w:t>禁止鞍钢集团公司及本项目采购组织的限期整改、灰名单、黑名单企业参与本次投标。</w:t>
      </w:r>
      <w:r>
        <w:rPr>
          <w:rFonts w:ascii="仿宋_GB2312" w:hAnsi="仿宋_GB2312" w:eastAsia="仿宋_GB2312" w:cs="Times New Roman"/>
          <w:sz w:val="32"/>
          <w:szCs w:val="32"/>
        </w:rPr>
        <w:t> </w:t>
      </w:r>
    </w:p>
    <w:p>
      <w:pPr>
        <w:keepNext w:val="0"/>
        <w:keepLines w:val="0"/>
        <w:pageBreakBefore w:val="0"/>
        <w:kinsoku/>
        <w:wordWrap/>
        <w:overflowPunct/>
        <w:topLinePunct w:val="0"/>
        <w:bidi w:val="0"/>
        <w:spacing w:line="520" w:lineRule="exact"/>
        <w:ind w:firstLine="640" w:firstLineChars="200"/>
        <w:jc w:val="left"/>
        <w:rPr>
          <w:rFonts w:ascii="仿宋_GB2312" w:hAnsi="仿宋_GB2312" w:eastAsia="仿宋_GB2312" w:cs="Times New Roman"/>
          <w:strike/>
          <w:color w:val="FF0000"/>
          <w:kern w:val="1"/>
          <w:sz w:val="32"/>
          <w:szCs w:val="32"/>
        </w:rPr>
      </w:pPr>
      <w:r>
        <w:rPr>
          <w:rFonts w:ascii="仿宋_GB2312" w:hAnsi="仿宋_GB2312" w:eastAsia="仿宋_GB2312" w:cs="仿宋_GB2312"/>
          <w:sz w:val="32"/>
          <w:szCs w:val="32"/>
        </w:rPr>
        <w:t>1.7</w:t>
      </w:r>
      <w:r>
        <w:rPr>
          <w:rFonts w:hint="eastAsia" w:ascii="仿宋_GB2312" w:hAnsi="仿宋_GB2312" w:eastAsia="仿宋_GB2312" w:cs="仿宋_GB2312"/>
          <w:sz w:val="32"/>
          <w:szCs w:val="32"/>
        </w:rPr>
        <w:t>投标人在企查查网站不能有串标风险提示（董监高交叉任职、交叉持股（董监高）、交叉持股（单位）、工商信息一致）、不能有否决投标风险提示（单位负责人为同一人、单位存在控股关系、总公司是否违规）；在国资委数据网站不能被列入“失信被执行人”。</w:t>
      </w:r>
    </w:p>
    <w:p>
      <w:pPr>
        <w:keepNext w:val="0"/>
        <w:keepLines w:val="0"/>
        <w:pageBreakBefore w:val="0"/>
        <w:kinsoku/>
        <w:wordWrap/>
        <w:overflowPunct/>
        <w:topLinePunct w:val="0"/>
        <w:bidi w:val="0"/>
        <w:adjustRightInd w:val="0"/>
        <w:snapToGrid w:val="0"/>
        <w:spacing w:line="520" w:lineRule="exact"/>
        <w:ind w:firstLine="640" w:firstLineChars="200"/>
        <w:rPr>
          <w:rFonts w:ascii="仿宋_GB2312" w:hAnsi="仿宋_GB2312" w:eastAsia="仿宋_GB2312" w:cs="Times New Roman"/>
          <w:color w:val="FF0000"/>
          <w:kern w:val="1"/>
          <w:sz w:val="32"/>
          <w:szCs w:val="32"/>
        </w:rPr>
      </w:pPr>
      <w:r>
        <w:rPr>
          <w:rFonts w:ascii="仿宋_GB2312" w:hAnsi="仿宋_GB2312" w:eastAsia="仿宋_GB2312" w:cs="仿宋_GB2312"/>
          <w:sz w:val="32"/>
          <w:szCs w:val="32"/>
        </w:rPr>
        <w:t>1.8</w:t>
      </w:r>
      <w:r>
        <w:rPr>
          <w:rFonts w:hint="eastAsia" w:ascii="仿宋_GB2312" w:hAnsi="仿宋_GB2312" w:eastAsia="仿宋_GB2312" w:cs="仿宋_GB2312"/>
          <w:sz w:val="32"/>
          <w:szCs w:val="32"/>
        </w:rPr>
        <w:t>投标方未按要求提供相关注册资金、资质、业绩等证明，或提供的相关注册资金、资质、业绩等证明不满足招标要求，或提供的相关注册资金、资质、业绩等证明不清晰无法证明有效性的，投标文件无效。</w:t>
      </w:r>
    </w:p>
    <w:p>
      <w:pPr>
        <w:pStyle w:val="5"/>
        <w:keepNext w:val="0"/>
        <w:keepLines w:val="0"/>
        <w:pageBreakBefore w:val="0"/>
        <w:widowControl/>
        <w:shd w:val="clear" w:color="auto" w:fill="FFFFFF"/>
        <w:kinsoku/>
        <w:wordWrap/>
        <w:overflowPunct/>
        <w:topLinePunct w:val="0"/>
        <w:bidi w:val="0"/>
        <w:adjustRightInd w:val="0"/>
        <w:snapToGrid w:val="0"/>
        <w:spacing w:beforeAutospacing="0" w:afterAutospacing="0" w:line="520" w:lineRule="exact"/>
        <w:ind w:firstLine="640" w:firstLineChars="200"/>
        <w:jc w:val="both"/>
        <w:rPr>
          <w:rFonts w:ascii="仿宋_GB2312" w:hAnsi="仿宋_GB2312" w:eastAsia="仿宋_GB2312" w:cs="Times New Roman"/>
          <w:kern w:val="2"/>
          <w:sz w:val="32"/>
          <w:szCs w:val="32"/>
        </w:rPr>
      </w:pPr>
      <w:r>
        <w:rPr>
          <w:rFonts w:ascii="仿宋_GB2312" w:hAnsi="仿宋_GB2312" w:eastAsia="仿宋_GB2312" w:cs="仿宋_GB2312"/>
          <w:kern w:val="2"/>
          <w:sz w:val="32"/>
          <w:szCs w:val="32"/>
        </w:rPr>
        <w:t>1.9</w:t>
      </w:r>
      <w:r>
        <w:rPr>
          <w:rFonts w:hint="eastAsia" w:ascii="仿宋_GB2312" w:hAnsi="仿宋_GB2312" w:eastAsia="仿宋_GB2312" w:cs="仿宋_GB2312"/>
          <w:kern w:val="2"/>
          <w:sz w:val="32"/>
          <w:szCs w:val="32"/>
        </w:rPr>
        <w:t>投标方必须确保提供的所有证明（包括但不限于注册资金、资质、业绩等）合法、真实、有效，否则承担由此产生的法律责任。</w:t>
      </w:r>
    </w:p>
    <w:p>
      <w:pPr>
        <w:pStyle w:val="5"/>
        <w:keepNext w:val="0"/>
        <w:keepLines w:val="0"/>
        <w:pageBreakBefore w:val="0"/>
        <w:widowControl/>
        <w:shd w:val="clear" w:color="auto" w:fill="FFFFFF"/>
        <w:kinsoku/>
        <w:wordWrap/>
        <w:overflowPunct/>
        <w:topLinePunct w:val="0"/>
        <w:bidi w:val="0"/>
        <w:adjustRightInd w:val="0"/>
        <w:snapToGrid w:val="0"/>
        <w:spacing w:beforeAutospacing="0" w:afterAutospacing="0" w:line="520" w:lineRule="exact"/>
        <w:ind w:firstLine="640" w:firstLineChars="200"/>
        <w:jc w:val="both"/>
        <w:rPr>
          <w:rFonts w:ascii="仿宋_GB2312" w:hAnsi="仿宋_GB2312" w:eastAsia="仿宋_GB2312" w:cs="Times New Roman"/>
          <w:sz w:val="32"/>
          <w:szCs w:val="32"/>
        </w:rPr>
      </w:pPr>
      <w:r>
        <w:rPr>
          <w:rFonts w:ascii="仿宋_GB2312" w:hAnsi="仿宋_GB2312" w:eastAsia="仿宋_GB2312" w:cs="仿宋_GB2312"/>
          <w:sz w:val="32"/>
          <w:szCs w:val="32"/>
        </w:rPr>
        <w:t>1.10</w:t>
      </w:r>
      <w:r>
        <w:rPr>
          <w:rFonts w:hint="eastAsia" w:ascii="仿宋_GB2312" w:hAnsi="仿宋_GB2312" w:eastAsia="仿宋_GB2312" w:cs="仿宋_GB2312"/>
          <w:sz w:val="32"/>
          <w:szCs w:val="32"/>
        </w:rPr>
        <w:t>需求交货期：</w:t>
      </w:r>
      <w:r>
        <w:rPr>
          <w:rFonts w:hint="eastAsia" w:ascii="仿宋_GB2312" w:hAnsi="仿宋_GB2312" w:eastAsia="仿宋_GB2312" w:cs="仿宋_GB2312"/>
          <w:b/>
          <w:bCs/>
          <w:color w:val="FF0000"/>
          <w:sz w:val="32"/>
          <w:szCs w:val="32"/>
        </w:rPr>
        <w:t>本次采购要求交货期为合同签订后</w:t>
      </w:r>
      <w:r>
        <w:rPr>
          <w:rFonts w:hint="eastAsia" w:ascii="仿宋_GB2312" w:hAnsi="仿宋_GB2312" w:eastAsia="仿宋_GB2312" w:cs="仿宋_GB2312"/>
          <w:b/>
          <w:bCs/>
          <w:color w:val="FF0000"/>
          <w:sz w:val="32"/>
          <w:szCs w:val="32"/>
          <w:lang w:val="en-US" w:eastAsia="zh-CN"/>
        </w:rPr>
        <w:t>150天</w:t>
      </w:r>
      <w:r>
        <w:rPr>
          <w:rFonts w:hint="eastAsia" w:ascii="仿宋_GB2312" w:hAnsi="仿宋_GB2312" w:eastAsia="仿宋_GB2312" w:cs="仿宋_GB2312"/>
          <w:b/>
          <w:bCs/>
          <w:color w:val="FF0000"/>
          <w:sz w:val="32"/>
          <w:szCs w:val="32"/>
        </w:rPr>
        <w:t>。</w:t>
      </w:r>
      <w:r>
        <w:rPr>
          <w:rFonts w:hint="eastAsia" w:ascii="仿宋_GB2312" w:hAnsi="仿宋_GB2312" w:eastAsia="仿宋_GB2312" w:cs="仿宋_GB2312"/>
          <w:sz w:val="32"/>
          <w:szCs w:val="32"/>
        </w:rPr>
        <w:t>投标单位应结合招标标的，投标时务必注明确保实现的交货期，如实际交货未满足合同约定，则将按照合同约定及相关管理办法对供方实施处罚。</w:t>
      </w:r>
    </w:p>
    <w:p>
      <w:pPr>
        <w:pStyle w:val="5"/>
        <w:keepNext w:val="0"/>
        <w:keepLines w:val="0"/>
        <w:pageBreakBefore w:val="0"/>
        <w:widowControl/>
        <w:shd w:val="clear" w:color="auto" w:fill="FFFFFF"/>
        <w:kinsoku/>
        <w:wordWrap/>
        <w:overflowPunct/>
        <w:topLinePunct w:val="0"/>
        <w:bidi w:val="0"/>
        <w:adjustRightInd w:val="0"/>
        <w:snapToGrid w:val="0"/>
        <w:spacing w:beforeAutospacing="0" w:afterAutospacing="0" w:line="520" w:lineRule="exact"/>
        <w:ind w:firstLine="640" w:firstLineChars="200"/>
        <w:jc w:val="both"/>
        <w:rPr>
          <w:rFonts w:ascii="仿宋_GB2312" w:hAnsi="仿宋_GB2312" w:eastAsia="仿宋_GB2312" w:cs="Times New Roman"/>
          <w:sz w:val="32"/>
          <w:szCs w:val="32"/>
        </w:rPr>
      </w:pPr>
      <w:r>
        <w:rPr>
          <w:rFonts w:ascii="仿宋_GB2312" w:hAnsi="仿宋_GB2312" w:eastAsia="仿宋_GB2312" w:cs="仿宋_GB2312"/>
          <w:sz w:val="32"/>
          <w:szCs w:val="32"/>
        </w:rPr>
        <w:t>1.11</w:t>
      </w:r>
      <w:r>
        <w:rPr>
          <w:rFonts w:hint="eastAsia" w:ascii="仿宋_GB2312" w:hAnsi="仿宋_GB2312" w:eastAsia="仿宋_GB2312" w:cs="仿宋_GB2312"/>
          <w:sz w:val="32"/>
          <w:szCs w:val="32"/>
        </w:rPr>
        <w:t>运输方式：出卖人自行选择，运费由出卖人承担。</w:t>
      </w:r>
    </w:p>
    <w:p>
      <w:pPr>
        <w:pStyle w:val="5"/>
        <w:keepNext w:val="0"/>
        <w:keepLines w:val="0"/>
        <w:pageBreakBefore w:val="0"/>
        <w:widowControl/>
        <w:shd w:val="clear" w:color="auto" w:fill="FFFFFF"/>
        <w:kinsoku/>
        <w:wordWrap/>
        <w:overflowPunct/>
        <w:topLinePunct w:val="0"/>
        <w:bidi w:val="0"/>
        <w:adjustRightInd w:val="0"/>
        <w:snapToGrid w:val="0"/>
        <w:spacing w:beforeAutospacing="0" w:afterAutospacing="0" w:line="520" w:lineRule="exact"/>
        <w:ind w:firstLine="640" w:firstLineChars="200"/>
        <w:jc w:val="both"/>
        <w:rPr>
          <w:rFonts w:ascii="仿宋_GB2312" w:hAnsi="仿宋_GB2312" w:eastAsia="仿宋_GB2312" w:cs="Times New Roman"/>
          <w:sz w:val="32"/>
          <w:szCs w:val="32"/>
        </w:rPr>
      </w:pPr>
      <w:r>
        <w:rPr>
          <w:rFonts w:ascii="仿宋_GB2312" w:hAnsi="仿宋_GB2312" w:eastAsia="仿宋_GB2312" w:cs="仿宋_GB2312"/>
          <w:sz w:val="32"/>
          <w:szCs w:val="32"/>
        </w:rPr>
        <w:t>1.12</w:t>
      </w:r>
      <w:r>
        <w:rPr>
          <w:rFonts w:hint="eastAsia" w:ascii="仿宋_GB2312" w:hAnsi="仿宋_GB2312" w:eastAsia="仿宋_GB2312" w:cs="仿宋_GB2312"/>
          <w:sz w:val="32"/>
          <w:szCs w:val="32"/>
        </w:rPr>
        <w:t>交货地点：货物送到</w:t>
      </w:r>
      <w:r>
        <w:rPr>
          <w:rFonts w:hint="eastAsia" w:ascii="仿宋_GB2312" w:hAnsi="仿宋_GB2312" w:eastAsia="仿宋_GB2312" w:cs="仿宋_GB2312"/>
          <w:sz w:val="32"/>
          <w:szCs w:val="32"/>
          <w:lang w:eastAsia="zh-CN"/>
        </w:rPr>
        <w:t>使用单位指定库房</w:t>
      </w:r>
      <w:r>
        <w:rPr>
          <w:rFonts w:hint="eastAsia" w:ascii="仿宋_GB2312" w:hAnsi="仿宋_GB2312" w:eastAsia="仿宋_GB2312" w:cs="仿宋_GB2312"/>
          <w:sz w:val="32"/>
          <w:szCs w:val="32"/>
        </w:rPr>
        <w:t>。</w:t>
      </w:r>
    </w:p>
    <w:p>
      <w:pPr>
        <w:keepNext w:val="0"/>
        <w:keepLines w:val="0"/>
        <w:pageBreakBefore w:val="0"/>
        <w:numPr>
          <w:ilvl w:val="0"/>
          <w:numId w:val="1"/>
        </w:numPr>
        <w:kinsoku/>
        <w:wordWrap/>
        <w:overflowPunct/>
        <w:topLinePunct w:val="0"/>
        <w:bidi w:val="0"/>
        <w:spacing w:line="520" w:lineRule="exact"/>
        <w:ind w:firstLine="640" w:firstLineChars="200"/>
        <w:rPr>
          <w:rFonts w:ascii="黑体" w:hAnsi="黑体" w:eastAsia="黑体" w:cs="Times New Roman"/>
          <w:sz w:val="32"/>
          <w:szCs w:val="32"/>
        </w:rPr>
      </w:pPr>
      <w:r>
        <w:rPr>
          <w:rFonts w:hint="eastAsia" w:ascii="黑体" w:hAnsi="黑体" w:eastAsia="黑体" w:cs="黑体"/>
          <w:sz w:val="32"/>
          <w:szCs w:val="32"/>
        </w:rPr>
        <w:t>技术要求</w:t>
      </w:r>
    </w:p>
    <w:p>
      <w:pPr>
        <w:keepNext w:val="0"/>
        <w:keepLines w:val="0"/>
        <w:pageBreakBefore w:val="0"/>
        <w:kinsoku/>
        <w:wordWrap/>
        <w:overflowPunct/>
        <w:topLinePunct w:val="0"/>
        <w:bidi w:val="0"/>
        <w:adjustRightInd w:val="0"/>
        <w:snapToGrid w:val="0"/>
        <w:spacing w:line="520" w:lineRule="exact"/>
        <w:ind w:firstLine="640" w:firstLineChars="200"/>
        <w:rPr>
          <w:rFonts w:hint="default" w:ascii="仿宋_GB2312" w:hAnsi="仿宋_GB2312" w:eastAsia="仿宋_GB2312" w:cs="Times New Roman"/>
          <w:sz w:val="32"/>
          <w:szCs w:val="32"/>
          <w:lang w:val="en-US"/>
        </w:rPr>
      </w:pPr>
      <w:r>
        <w:rPr>
          <w:rFonts w:hint="eastAsia" w:ascii="仿宋_GB2312" w:hAnsi="仿宋_GB2312" w:eastAsia="仿宋_GB2312" w:cs="仿宋_GB2312"/>
          <w:color w:val="auto"/>
          <w:sz w:val="32"/>
          <w:szCs w:val="32"/>
          <w:highlight w:val="none"/>
        </w:rPr>
        <w:t>本次采购明细为</w:t>
      </w:r>
      <w:r>
        <w:rPr>
          <w:rFonts w:hint="eastAsia" w:ascii="仿宋_GB2312" w:hAnsi="仿宋_GB2312" w:eastAsia="仿宋_GB2312" w:cs="仿宋_GB2312"/>
          <w:color w:val="auto"/>
          <w:sz w:val="32"/>
          <w:szCs w:val="32"/>
          <w:highlight w:val="none"/>
          <w:lang w:eastAsia="zh-CN"/>
        </w:rPr>
        <w:t>公司重大电控技术应用改造</w:t>
      </w:r>
      <w:r>
        <w:rPr>
          <w:rFonts w:hint="eastAsia" w:ascii="仿宋_GB2312" w:hAnsi="仿宋_GB2312" w:eastAsia="仿宋_GB2312" w:cs="仿宋_GB2312"/>
          <w:color w:val="auto"/>
          <w:sz w:val="32"/>
          <w:szCs w:val="32"/>
          <w:highlight w:val="none"/>
        </w:rPr>
        <w:t>产品</w:t>
      </w:r>
      <w:r>
        <w:rPr>
          <w:rFonts w:hint="eastAsia" w:ascii="仿宋_GB2312" w:hAnsi="仿宋_GB2312" w:eastAsia="仿宋_GB2312" w:cs="仿宋_GB2312"/>
          <w:color w:val="auto"/>
          <w:sz w:val="32"/>
          <w:szCs w:val="32"/>
          <w:highlight w:val="none"/>
          <w:lang w:eastAsia="zh-CN"/>
        </w:rPr>
        <w:t>，存在非标可能，具体详见</w:t>
      </w:r>
      <w:r>
        <w:rPr>
          <w:rFonts w:hint="eastAsia" w:ascii="仿宋_GB2312" w:hAnsi="仿宋_GB2312" w:eastAsia="仿宋_GB2312" w:cs="仿宋_GB2312"/>
          <w:b/>
          <w:bCs/>
          <w:color w:val="FF0000"/>
          <w:sz w:val="32"/>
          <w:szCs w:val="32"/>
          <w:highlight w:val="none"/>
          <w:lang w:eastAsia="zh-CN"/>
        </w:rPr>
        <w:t>镀锌机组电气成套设备升级改造技术要求（2026年8月31日最终版）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各投标方投标产品必须满足招标产品的性能、尺寸等</w:t>
      </w:r>
      <w:r>
        <w:rPr>
          <w:rFonts w:hint="eastAsia" w:ascii="仿宋_GB2312" w:hAnsi="仿宋_GB2312" w:eastAsia="仿宋_GB2312" w:cs="仿宋_GB2312"/>
          <w:color w:val="auto"/>
          <w:sz w:val="32"/>
          <w:szCs w:val="32"/>
          <w:highlight w:val="none"/>
          <w:lang w:eastAsia="zh-CN"/>
        </w:rPr>
        <w:t>技术</w:t>
      </w:r>
      <w:r>
        <w:rPr>
          <w:rFonts w:hint="eastAsia" w:ascii="仿宋_GB2312" w:hAnsi="仿宋_GB2312" w:eastAsia="仿宋_GB2312" w:cs="仿宋_GB2312"/>
          <w:color w:val="auto"/>
          <w:sz w:val="32"/>
          <w:szCs w:val="32"/>
          <w:highlight w:val="none"/>
        </w:rPr>
        <w:t>要求，且技术参数、性能不能低于</w:t>
      </w:r>
      <w:r>
        <w:rPr>
          <w:rFonts w:hint="eastAsia" w:ascii="仿宋_GB2312" w:hAnsi="仿宋_GB2312" w:eastAsia="仿宋_GB2312" w:cs="仿宋_GB2312"/>
          <w:color w:val="auto"/>
          <w:sz w:val="32"/>
          <w:szCs w:val="32"/>
          <w:highlight w:val="none"/>
          <w:lang w:eastAsia="zh-CN"/>
        </w:rPr>
        <w:t>采购需求</w:t>
      </w:r>
      <w:r>
        <w:rPr>
          <w:rFonts w:hint="eastAsia" w:ascii="仿宋_GB2312" w:hAnsi="仿宋_GB2312" w:eastAsia="仿宋_GB2312" w:cs="仿宋_GB2312"/>
          <w:color w:val="auto"/>
          <w:sz w:val="32"/>
          <w:szCs w:val="32"/>
          <w:highlight w:val="none"/>
        </w:rPr>
        <w:t>，以保证实际应用</w:t>
      </w:r>
      <w:r>
        <w:rPr>
          <w:rFonts w:hint="eastAsia" w:ascii="仿宋_GB2312" w:hAnsi="仿宋_GB2312" w:eastAsia="仿宋_GB2312" w:cs="仿宋_GB2312"/>
          <w:color w:val="auto"/>
          <w:sz w:val="32"/>
          <w:szCs w:val="32"/>
          <w:highlight w:val="none"/>
          <w:lang w:eastAsia="zh-CN"/>
        </w:rPr>
        <w:t>，且需</w:t>
      </w:r>
      <w:r>
        <w:rPr>
          <w:rFonts w:hint="eastAsia" w:ascii="仿宋_GB2312" w:hAnsi="仿宋_GB2312" w:eastAsia="仿宋_GB2312" w:cs="仿宋_GB2312"/>
          <w:color w:val="auto"/>
          <w:sz w:val="32"/>
          <w:szCs w:val="32"/>
          <w:highlight w:val="none"/>
        </w:rPr>
        <w:t>注明对应的投标型号及参数</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b/>
          <w:bCs/>
          <w:color w:val="FF0000"/>
          <w:sz w:val="32"/>
          <w:szCs w:val="32"/>
          <w:highlight w:val="none"/>
          <w:lang w:eastAsia="zh-CN"/>
        </w:rPr>
        <w:t>投标方需提前与使用单位了解采购标的的现场工况、技术参数等有关内容，按技术附件要求形成有关材料并参与技术交流，方可继续投商务标；如后续出现不能满足现场需求的技术问题，由各投标方负责。（联系人：王琳；联系方式：</w:t>
      </w:r>
      <w:r>
        <w:rPr>
          <w:rFonts w:hint="eastAsia" w:ascii="仿宋_GB2312" w:hAnsi="仿宋_GB2312" w:eastAsia="仿宋_GB2312" w:cs="仿宋_GB2312"/>
          <w:b/>
          <w:bCs/>
          <w:color w:val="FF0000"/>
          <w:sz w:val="32"/>
          <w:szCs w:val="32"/>
          <w:highlight w:val="none"/>
          <w:lang w:val="en-US" w:eastAsia="zh-CN"/>
        </w:rPr>
        <w:t>13390081982</w:t>
      </w:r>
      <w:r>
        <w:rPr>
          <w:rFonts w:hint="eastAsia" w:ascii="仿宋_GB2312" w:hAnsi="仿宋_GB2312" w:eastAsia="仿宋_GB2312" w:cs="仿宋_GB2312"/>
          <w:b/>
          <w:bCs/>
          <w:color w:val="FF0000"/>
          <w:sz w:val="32"/>
          <w:szCs w:val="32"/>
          <w:highlight w:val="none"/>
          <w:lang w:eastAsia="zh-CN"/>
        </w:rPr>
        <w:t>）</w:t>
      </w:r>
      <w:r>
        <w:rPr>
          <w:rFonts w:hint="eastAsia" w:ascii="仿宋_GB2312" w:hAnsi="仿宋_GB2312" w:eastAsia="仿宋_GB2312" w:cs="仿宋_GB2312"/>
          <w:color w:val="FF0000"/>
          <w:sz w:val="32"/>
          <w:szCs w:val="32"/>
          <w:highlight w:val="none"/>
          <w:lang w:val="en-US" w:eastAsia="zh-CN"/>
        </w:rPr>
        <w:t>。</w:t>
      </w:r>
    </w:p>
    <w:p>
      <w:pPr>
        <w:keepNext w:val="0"/>
        <w:keepLines w:val="0"/>
        <w:pageBreakBefore w:val="0"/>
        <w:numPr>
          <w:ilvl w:val="0"/>
          <w:numId w:val="1"/>
        </w:numPr>
        <w:kinsoku/>
        <w:wordWrap/>
        <w:overflowPunct/>
        <w:topLinePunct w:val="0"/>
        <w:bidi w:val="0"/>
        <w:spacing w:line="520" w:lineRule="exact"/>
        <w:ind w:firstLine="640" w:firstLineChars="200"/>
        <w:rPr>
          <w:rFonts w:ascii="黑体" w:hAnsi="黑体" w:eastAsia="黑体" w:cs="Times New Roman"/>
          <w:sz w:val="32"/>
          <w:szCs w:val="32"/>
        </w:rPr>
      </w:pPr>
      <w:r>
        <w:rPr>
          <w:rFonts w:hint="eastAsia" w:ascii="黑体" w:hAnsi="黑体" w:eastAsia="黑体" w:cs="黑体"/>
          <w:sz w:val="32"/>
          <w:szCs w:val="32"/>
        </w:rPr>
        <w:t>资质及业绩要求</w:t>
      </w:r>
    </w:p>
    <w:p>
      <w:pPr>
        <w:pStyle w:val="10"/>
        <w:keepNext w:val="0"/>
        <w:keepLines w:val="0"/>
        <w:pageBreakBefore w:val="0"/>
        <w:kinsoku/>
        <w:wordWrap/>
        <w:overflowPunct/>
        <w:topLinePunct w:val="0"/>
        <w:bidi w:val="0"/>
        <w:adjustRightInd/>
        <w:spacing w:line="5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3.1</w:t>
      </w:r>
      <w:r>
        <w:rPr>
          <w:rFonts w:hint="eastAsia" w:ascii="仿宋_GB2312" w:hAnsi="仿宋_GB2312" w:eastAsia="仿宋_GB2312" w:cs="仿宋_GB2312"/>
          <w:sz w:val="32"/>
          <w:szCs w:val="32"/>
        </w:rPr>
        <w:t>资质要求：</w:t>
      </w:r>
      <w:r>
        <w:rPr>
          <w:rFonts w:ascii="仿宋_GB2312" w:hAnsi="仿宋_GB2312" w:eastAsia="仿宋_GB2312" w:cs="仿宋_GB2312"/>
          <w:sz w:val="32"/>
          <w:szCs w:val="32"/>
        </w:rPr>
        <w:t xml:space="preserve"> </w:t>
      </w:r>
    </w:p>
    <w:p>
      <w:pPr>
        <w:pStyle w:val="10"/>
        <w:keepNext w:val="0"/>
        <w:keepLines w:val="0"/>
        <w:pageBreakBefore w:val="0"/>
        <w:kinsoku/>
        <w:wordWrap/>
        <w:overflowPunct/>
        <w:topLinePunct w:val="0"/>
        <w:bidi w:val="0"/>
        <w:adjustRightInd/>
        <w:spacing w:line="520" w:lineRule="exact"/>
        <w:ind w:firstLine="643" w:firstLineChars="200"/>
        <w:rPr>
          <w:rFonts w:ascii="仿宋_GB2312" w:hAnsi="仿宋_GB2312" w:eastAsia="仿宋_GB2312"/>
          <w:b/>
          <w:bCs/>
          <w:color w:val="FF0000"/>
          <w:sz w:val="32"/>
          <w:szCs w:val="32"/>
        </w:rPr>
      </w:pPr>
      <w:r>
        <w:rPr>
          <w:rFonts w:hint="eastAsia" w:ascii="仿宋_GB2312" w:hAnsi="仿宋_GB2312" w:eastAsia="仿宋_GB2312" w:cs="仿宋_GB2312"/>
          <w:b/>
          <w:bCs/>
          <w:color w:val="FF0000"/>
          <w:sz w:val="32"/>
          <w:szCs w:val="32"/>
        </w:rPr>
        <w:t>（</w:t>
      </w:r>
      <w:r>
        <w:rPr>
          <w:rFonts w:ascii="仿宋_GB2312" w:hAnsi="仿宋_GB2312" w:eastAsia="仿宋_GB2312" w:cs="仿宋_GB2312"/>
          <w:b/>
          <w:bCs/>
          <w:color w:val="FF0000"/>
          <w:sz w:val="32"/>
          <w:szCs w:val="32"/>
        </w:rPr>
        <w:t>1</w:t>
      </w:r>
      <w:r>
        <w:rPr>
          <w:rFonts w:hint="eastAsia" w:ascii="仿宋_GB2312" w:hAnsi="仿宋_GB2312" w:eastAsia="仿宋_GB2312" w:cs="仿宋_GB2312"/>
          <w:b/>
          <w:bCs/>
          <w:color w:val="FF0000"/>
          <w:sz w:val="32"/>
          <w:szCs w:val="32"/>
        </w:rPr>
        <w:t>）营业执照（或副本）扫描件或照片；</w:t>
      </w:r>
    </w:p>
    <w:p>
      <w:pPr>
        <w:pStyle w:val="10"/>
        <w:keepNext w:val="0"/>
        <w:keepLines w:val="0"/>
        <w:pageBreakBefore w:val="0"/>
        <w:kinsoku/>
        <w:wordWrap/>
        <w:overflowPunct/>
        <w:topLinePunct w:val="0"/>
        <w:bidi w:val="0"/>
        <w:adjustRightInd/>
        <w:spacing w:line="52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）税务登记证（或副本）扫描件或照片（三证合一的除外）；</w:t>
      </w:r>
    </w:p>
    <w:p>
      <w:pPr>
        <w:pStyle w:val="10"/>
        <w:keepNext w:val="0"/>
        <w:keepLines w:val="0"/>
        <w:pageBreakBefore w:val="0"/>
        <w:kinsoku/>
        <w:wordWrap/>
        <w:overflowPunct/>
        <w:topLinePunct w:val="0"/>
        <w:bidi w:val="0"/>
        <w:adjustRightInd/>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）组织机构代码证（或副本）扫描件或照片（三证合一的除外</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 xml:space="preserve"> </w:t>
      </w:r>
    </w:p>
    <w:p>
      <w:pPr>
        <w:keepNext w:val="0"/>
        <w:keepLines w:val="0"/>
        <w:pageBreakBefore w:val="0"/>
        <w:kinsoku/>
        <w:wordWrap/>
        <w:overflowPunct/>
        <w:topLinePunct w:val="0"/>
        <w:bidi w:val="0"/>
        <w:spacing w:line="520" w:lineRule="exact"/>
        <w:ind w:firstLine="640" w:firstLineChars="200"/>
        <w:jc w:val="left"/>
        <w:rPr>
          <w:rFonts w:hint="eastAsia" w:ascii="仿宋_GB2312" w:hAnsi="仿宋_GB2312" w:eastAsia="仿宋_GB2312" w:cs="Times New Roman"/>
          <w:b/>
          <w:bCs/>
          <w:color w:val="FF0000"/>
          <w:sz w:val="32"/>
          <w:szCs w:val="32"/>
          <w:lang w:eastAsia="zh-CN"/>
        </w:rPr>
      </w:pPr>
      <w:r>
        <w:rPr>
          <w:rFonts w:ascii="仿宋_GB2312" w:hAnsi="仿宋_GB2312" w:eastAsia="仿宋_GB2312" w:cs="仿宋_GB2312"/>
          <w:sz w:val="32"/>
          <w:szCs w:val="32"/>
        </w:rPr>
        <w:t>3.2</w:t>
      </w:r>
      <w:r>
        <w:rPr>
          <w:rFonts w:hint="eastAsia" w:ascii="仿宋_GB2312" w:hAnsi="仿宋_GB2312" w:eastAsia="仿宋_GB2312" w:cs="仿宋_GB2312"/>
          <w:sz w:val="32"/>
          <w:szCs w:val="32"/>
        </w:rPr>
        <w:t>认证体系要求：</w:t>
      </w:r>
      <w:r>
        <w:rPr>
          <w:rFonts w:hint="eastAsia" w:ascii="仿宋_GB2312" w:hAnsi="仿宋_GB2312" w:eastAsia="仿宋_GB2312" w:cs="仿宋_GB2312"/>
          <w:b/>
          <w:bCs/>
          <w:color w:val="FF0000"/>
          <w:sz w:val="32"/>
          <w:szCs w:val="32"/>
          <w:lang w:eastAsia="zh-CN"/>
        </w:rPr>
        <w:t>无</w:t>
      </w:r>
    </w:p>
    <w:p>
      <w:pPr>
        <w:keepNext w:val="0"/>
        <w:keepLines w:val="0"/>
        <w:pageBreakBefore w:val="0"/>
        <w:kinsoku/>
        <w:wordWrap/>
        <w:overflowPunct/>
        <w:topLinePunct w:val="0"/>
        <w:bidi w:val="0"/>
        <w:spacing w:line="520" w:lineRule="exact"/>
        <w:ind w:firstLine="640" w:firstLineChars="200"/>
        <w:jc w:val="left"/>
        <w:rPr>
          <w:rFonts w:ascii="仿宋_GB2312" w:hAnsi="仿宋_GB2312" w:eastAsia="仿宋_GB2312" w:cs="Times New Roman"/>
          <w:kern w:val="0"/>
          <w:sz w:val="32"/>
          <w:szCs w:val="32"/>
        </w:rPr>
      </w:pPr>
      <w:r>
        <w:rPr>
          <w:rFonts w:ascii="仿宋_GB2312" w:hAnsi="仿宋_GB2312" w:eastAsia="仿宋_GB2312" w:cs="仿宋_GB2312"/>
          <w:kern w:val="0"/>
          <w:sz w:val="32"/>
          <w:szCs w:val="32"/>
        </w:rPr>
        <w:t>3.3</w:t>
      </w:r>
      <w:r>
        <w:rPr>
          <w:rFonts w:hint="eastAsia" w:ascii="仿宋_GB2312" w:hAnsi="仿宋_GB2312" w:eastAsia="仿宋_GB2312" w:cs="仿宋_GB2312"/>
          <w:kern w:val="0"/>
          <w:sz w:val="32"/>
          <w:szCs w:val="32"/>
        </w:rPr>
        <w:t>业绩要求</w:t>
      </w:r>
    </w:p>
    <w:p>
      <w:pPr>
        <w:pStyle w:val="10"/>
        <w:keepNext w:val="0"/>
        <w:keepLines w:val="0"/>
        <w:pageBreakBefore w:val="0"/>
        <w:kinsoku/>
        <w:wordWrap/>
        <w:overflowPunct/>
        <w:topLinePunct w:val="0"/>
        <w:bidi w:val="0"/>
        <w:snapToGrid w:val="0"/>
        <w:spacing w:line="520" w:lineRule="exact"/>
        <w:ind w:firstLine="643" w:firstLineChars="200"/>
        <w:jc w:val="left"/>
        <w:rPr>
          <w:rFonts w:ascii="仿宋_GB2312" w:hAnsi="仿宋_GB2312" w:eastAsia="仿宋_GB2312"/>
          <w:kern w:val="1"/>
          <w:sz w:val="32"/>
          <w:szCs w:val="32"/>
        </w:rPr>
      </w:pPr>
      <w:r>
        <w:rPr>
          <w:rFonts w:hint="eastAsia" w:ascii="仿宋_GB2312" w:hAnsi="仿宋_GB2312" w:eastAsia="仿宋_GB2312" w:cs="仿宋_GB2312"/>
          <w:b/>
          <w:bCs/>
          <w:color w:val="FF0000"/>
          <w:sz w:val="32"/>
          <w:szCs w:val="32"/>
          <w:highlight w:val="none"/>
        </w:rPr>
        <w:t>2022年至今</w:t>
      </w:r>
      <w:r>
        <w:rPr>
          <w:rFonts w:hint="eastAsia" w:ascii="仿宋_GB2312" w:hAnsi="仿宋_GB2312" w:eastAsia="仿宋_GB2312" w:cs="仿宋_GB2312"/>
          <w:b/>
          <w:bCs/>
          <w:color w:val="FF0000"/>
          <w:sz w:val="32"/>
          <w:szCs w:val="32"/>
          <w:highlight w:val="none"/>
          <w:lang w:eastAsia="zh-CN"/>
        </w:rPr>
        <w:t>，具有单笔</w:t>
      </w:r>
      <w:r>
        <w:rPr>
          <w:rFonts w:hint="eastAsia" w:ascii="仿宋_GB2312" w:hAnsi="仿宋_GB2312" w:eastAsia="仿宋_GB2312" w:cs="仿宋_GB2312"/>
          <w:b/>
          <w:bCs/>
          <w:color w:val="FF0000"/>
          <w:sz w:val="32"/>
          <w:szCs w:val="32"/>
          <w:highlight w:val="none"/>
        </w:rPr>
        <w:t>合同不含税金额大于1500万元的冷轧生产线电控系统成套设备供货业绩证明（要求至少提供一份合同及相应的发票原件的扫描件），如合同无法证明上述信息，请提供技术附件扫描件予以证明。</w:t>
      </w:r>
      <w:r>
        <w:rPr>
          <w:rFonts w:hint="eastAsia" w:ascii="仿宋_GB2312" w:hAnsi="仿宋_GB2312" w:eastAsia="仿宋_GB2312" w:cs="仿宋_GB2312"/>
          <w:kern w:val="1"/>
          <w:sz w:val="32"/>
          <w:szCs w:val="32"/>
        </w:rPr>
        <w:t>投标人上传的发票信息内容，需与“国家税务总局全国增值税发票查验平台”查询到的“发票查验明细”一致，如不一致或无法查询报名无效。</w:t>
      </w:r>
    </w:p>
    <w:p>
      <w:pPr>
        <w:pStyle w:val="10"/>
        <w:keepNext w:val="0"/>
        <w:keepLines w:val="0"/>
        <w:pageBreakBefore w:val="0"/>
        <w:kinsoku/>
        <w:wordWrap/>
        <w:overflowPunct/>
        <w:topLinePunct w:val="0"/>
        <w:bidi w:val="0"/>
        <w:adjustRightInd/>
        <w:spacing w:line="52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注：上述资料无关数据允许删除或遮盖，但不能影响发票在税务总局网站上验证。</w:t>
      </w:r>
    </w:p>
    <w:p>
      <w:pPr>
        <w:keepNext w:val="0"/>
        <w:keepLines w:val="0"/>
        <w:pageBreakBefore w:val="0"/>
        <w:kinsoku/>
        <w:wordWrap/>
        <w:overflowPunct/>
        <w:topLinePunct w:val="0"/>
        <w:bidi w:val="0"/>
        <w:spacing w:line="520" w:lineRule="exact"/>
        <w:ind w:firstLine="640" w:firstLineChars="200"/>
        <w:rPr>
          <w:rFonts w:ascii="黑体" w:hAnsi="黑体" w:eastAsia="黑体" w:cs="Times New Roman"/>
          <w:sz w:val="32"/>
          <w:szCs w:val="32"/>
        </w:rPr>
      </w:pPr>
      <w:r>
        <w:rPr>
          <w:rFonts w:ascii="黑体" w:hAnsi="黑体" w:eastAsia="黑体" w:cs="黑体"/>
          <w:sz w:val="32"/>
          <w:szCs w:val="32"/>
        </w:rPr>
        <w:t>4</w:t>
      </w:r>
      <w:r>
        <w:rPr>
          <w:rFonts w:hint="eastAsia" w:ascii="黑体" w:hAnsi="黑体" w:eastAsia="黑体" w:cs="黑体"/>
          <w:sz w:val="32"/>
          <w:szCs w:val="32"/>
        </w:rPr>
        <w:t>、财务要求</w:t>
      </w:r>
    </w:p>
    <w:p>
      <w:pPr>
        <w:keepNext w:val="0"/>
        <w:keepLines w:val="0"/>
        <w:pageBreakBefore w:val="0"/>
        <w:kinsoku/>
        <w:wordWrap/>
        <w:overflowPunct/>
        <w:topLinePunct w:val="0"/>
        <w:bidi w:val="0"/>
        <w:spacing w:line="520" w:lineRule="exact"/>
        <w:ind w:firstLine="640" w:firstLineChars="200"/>
        <w:jc w:val="left"/>
        <w:rPr>
          <w:rFonts w:ascii="仿宋_GB2312" w:hAnsi="仿宋_GB2312" w:eastAsia="仿宋_GB2312" w:cs="Times New Roman"/>
          <w:sz w:val="32"/>
          <w:szCs w:val="32"/>
        </w:rPr>
      </w:pPr>
      <w:r>
        <w:rPr>
          <w:rFonts w:hint="eastAsia" w:ascii="仿宋_GB2312" w:hAnsi="仿宋_GB2312" w:eastAsia="仿宋_GB2312" w:cs="仿宋_GB2312"/>
          <w:sz w:val="32"/>
          <w:szCs w:val="32"/>
        </w:rPr>
        <w:t>资金状况要求：具有企业法人资格，</w:t>
      </w:r>
      <w:r>
        <w:rPr>
          <w:rFonts w:hint="eastAsia" w:ascii="仿宋_GB2312" w:hAnsi="仿宋_GB2312" w:eastAsia="仿宋_GB2312" w:cs="仿宋_GB2312"/>
          <w:b/>
          <w:bCs/>
          <w:color w:val="FF0000"/>
          <w:kern w:val="0"/>
          <w:sz w:val="32"/>
          <w:szCs w:val="32"/>
          <w:highlight w:val="none"/>
          <w:lang w:val="en-US" w:eastAsia="zh-CN" w:bidi="ar-SA"/>
        </w:rPr>
        <w:t>注册资金不低于1500万元（人民币，或折合人民币）</w:t>
      </w:r>
      <w:r>
        <w:rPr>
          <w:rFonts w:hint="eastAsia" w:ascii="仿宋_GB2312" w:hAnsi="仿宋_GB2312" w:eastAsia="仿宋_GB2312" w:cs="仿宋_GB2312"/>
          <w:sz w:val="32"/>
          <w:szCs w:val="32"/>
        </w:rPr>
        <w:t>。财务、资金状况良好，能够承担项目实施过程中相应的风险。</w:t>
      </w:r>
    </w:p>
    <w:p>
      <w:pPr>
        <w:keepNext w:val="0"/>
        <w:keepLines w:val="0"/>
        <w:pageBreakBefore w:val="0"/>
        <w:kinsoku/>
        <w:wordWrap/>
        <w:overflowPunct/>
        <w:topLinePunct w:val="0"/>
        <w:bidi w:val="0"/>
        <w:spacing w:line="520" w:lineRule="exact"/>
        <w:ind w:firstLine="640" w:firstLineChars="200"/>
        <w:rPr>
          <w:rFonts w:ascii="黑体" w:hAnsi="黑体" w:eastAsia="黑体" w:cs="Times New Roman"/>
          <w:sz w:val="32"/>
          <w:szCs w:val="32"/>
        </w:rPr>
      </w:pPr>
      <w:r>
        <w:rPr>
          <w:rFonts w:ascii="黑体" w:hAnsi="黑体" w:eastAsia="黑体" w:cs="黑体"/>
          <w:sz w:val="32"/>
          <w:szCs w:val="32"/>
        </w:rPr>
        <w:t>5</w:t>
      </w:r>
      <w:r>
        <w:rPr>
          <w:rFonts w:hint="eastAsia" w:ascii="黑体" w:hAnsi="黑体" w:eastAsia="黑体" w:cs="黑体"/>
          <w:sz w:val="32"/>
          <w:szCs w:val="32"/>
        </w:rPr>
        <w:t>、付款方式</w:t>
      </w:r>
    </w:p>
    <w:p>
      <w:pPr>
        <w:keepNext w:val="0"/>
        <w:keepLines w:val="0"/>
        <w:pageBreakBefore w:val="0"/>
        <w:kinsoku/>
        <w:wordWrap/>
        <w:overflowPunct/>
        <w:topLinePunct w:val="0"/>
        <w:bidi w:val="0"/>
        <w:spacing w:line="520"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5.1</w:t>
      </w:r>
      <w:r>
        <w:rPr>
          <w:rFonts w:hint="eastAsia" w:ascii="仿宋_GB2312" w:hAnsi="仿宋_GB2312" w:eastAsia="仿宋_GB2312" w:cs="仿宋_GB2312"/>
          <w:sz w:val="32"/>
          <w:szCs w:val="32"/>
        </w:rPr>
        <w:t>无预付款</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货到验收合格取得合法发票挂账付款，按鞍钢现行付款政策</w:t>
      </w:r>
      <w:r>
        <w:rPr>
          <w:rFonts w:hint="eastAsia" w:ascii="仿宋_GB2312" w:hAnsi="仿宋_GB2312" w:eastAsia="仿宋_GB2312" w:cs="仿宋_GB2312"/>
          <w:sz w:val="32"/>
          <w:szCs w:val="32"/>
          <w:lang w:eastAsia="zh-CN"/>
        </w:rPr>
        <w:t>执行</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52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kern w:val="1"/>
          <w:sz w:val="32"/>
          <w:szCs w:val="32"/>
        </w:rPr>
        <w:t>不同意该付款条件的，采购方将其视为无效报价。</w:t>
      </w:r>
    </w:p>
    <w:p>
      <w:pPr>
        <w:keepNext w:val="0"/>
        <w:keepLines w:val="0"/>
        <w:pageBreakBefore w:val="0"/>
        <w:kinsoku/>
        <w:wordWrap/>
        <w:overflowPunct/>
        <w:topLinePunct w:val="0"/>
        <w:bidi w:val="0"/>
        <w:snapToGrid w:val="0"/>
        <w:spacing w:line="520" w:lineRule="exact"/>
        <w:ind w:firstLine="640" w:firstLineChars="200"/>
        <w:jc w:val="left"/>
        <w:rPr>
          <w:rFonts w:ascii="仿宋_GB2312" w:hAnsi="仿宋_GB2312" w:eastAsia="仿宋_GB2312" w:cs="Times New Roman"/>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2合同金额在50 万元（不含税）及以上的工程项目采购，留取5%作为质量保证金，</w:t>
      </w:r>
      <w:bookmarkStart w:id="0" w:name="_GoBack"/>
      <w:bookmarkEnd w:id="0"/>
      <w:r>
        <w:rPr>
          <w:rFonts w:hint="eastAsia" w:ascii="仿宋_GB2312" w:hAnsi="仿宋_GB2312" w:eastAsia="仿宋_GB2312" w:cs="仿宋_GB2312"/>
          <w:sz w:val="32"/>
          <w:szCs w:val="32"/>
        </w:rPr>
        <w:t>设备正常运行十二个月无质量问题或货满十八个月时付清。</w:t>
      </w:r>
    </w:p>
    <w:p>
      <w:pPr>
        <w:keepNext w:val="0"/>
        <w:keepLines w:val="0"/>
        <w:pageBreakBefore w:val="0"/>
        <w:kinsoku/>
        <w:wordWrap/>
        <w:overflowPunct/>
        <w:topLinePunct w:val="0"/>
        <w:bidi w:val="0"/>
        <w:spacing w:line="520" w:lineRule="exact"/>
        <w:ind w:firstLine="640" w:firstLineChars="200"/>
        <w:jc w:val="left"/>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rPr>
        <w:t>5.3</w:t>
      </w:r>
      <w:r>
        <w:rPr>
          <w:rFonts w:hint="eastAsia" w:ascii="仿宋_GB2312" w:hAnsi="仿宋_GB2312" w:eastAsia="仿宋_GB2312" w:cs="仿宋_GB2312"/>
          <w:sz w:val="32"/>
          <w:szCs w:val="32"/>
        </w:rPr>
        <w:t>目前鞍钢现行付款政策</w:t>
      </w:r>
      <w:r>
        <w:rPr>
          <w:rFonts w:hint="eastAsia" w:ascii="仿宋_GB2312" w:hAnsi="仿宋_GB2312" w:eastAsia="仿宋_GB2312" w:cs="仿宋_GB2312"/>
          <w:sz w:val="32"/>
          <w:szCs w:val="32"/>
          <w:lang w:val="en-US" w:eastAsia="zh-CN"/>
        </w:rPr>
        <w:t>:</w:t>
      </w:r>
    </w:p>
    <w:p>
      <w:pPr>
        <w:keepNext w:val="0"/>
        <w:keepLines w:val="0"/>
        <w:pageBreakBefore w:val="0"/>
        <w:kinsoku/>
        <w:wordWrap/>
        <w:overflowPunct/>
        <w:topLinePunct w:val="0"/>
        <w:bidi w:val="0"/>
        <w:spacing w:line="52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挂账月起第</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个月支付货币</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bidi w:val="0"/>
        <w:spacing w:line="52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挂账月起第</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个月支付</w:t>
      </w:r>
      <w:r>
        <w:rPr>
          <w:rFonts w:hint="eastAsia" w:ascii="仿宋_GB2312" w:hAnsi="仿宋_GB2312" w:eastAsia="仿宋_GB2312" w:cs="仿宋_GB2312"/>
          <w:sz w:val="32"/>
          <w:szCs w:val="32"/>
          <w:lang w:eastAsia="zh-CN"/>
        </w:rPr>
        <w:t>银行承兑汇票；</w:t>
      </w:r>
    </w:p>
    <w:p>
      <w:pPr>
        <w:keepNext w:val="0"/>
        <w:keepLines w:val="0"/>
        <w:pageBreakBefore w:val="0"/>
        <w:kinsoku/>
        <w:wordWrap/>
        <w:overflowPunct/>
        <w:topLinePunct w:val="0"/>
        <w:bidi w:val="0"/>
        <w:spacing w:line="520" w:lineRule="exact"/>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注：在本次采购执行过程中，若遇公司付款政策发生变化，按公司变化后的最新付款政策执行。</w:t>
      </w:r>
    </w:p>
    <w:p>
      <w:pPr>
        <w:keepNext w:val="0"/>
        <w:keepLines w:val="0"/>
        <w:pageBreakBefore w:val="0"/>
        <w:numPr>
          <w:ilvl w:val="0"/>
          <w:numId w:val="2"/>
        </w:numPr>
        <w:kinsoku/>
        <w:wordWrap/>
        <w:overflowPunct/>
        <w:topLinePunct w:val="0"/>
        <w:bidi w:val="0"/>
        <w:spacing w:line="520" w:lineRule="exact"/>
        <w:ind w:firstLine="640" w:firstLineChars="200"/>
        <w:rPr>
          <w:rFonts w:ascii="黑体" w:hAnsi="黑体" w:eastAsia="黑体" w:cs="Times New Roman"/>
          <w:sz w:val="32"/>
          <w:szCs w:val="32"/>
        </w:rPr>
      </w:pPr>
      <w:r>
        <w:rPr>
          <w:rFonts w:hint="eastAsia" w:ascii="黑体" w:hAnsi="黑体" w:eastAsia="黑体" w:cs="黑体"/>
          <w:sz w:val="32"/>
          <w:szCs w:val="32"/>
        </w:rPr>
        <w:t>履约要求</w:t>
      </w:r>
    </w:p>
    <w:p>
      <w:pPr>
        <w:keepNext w:val="0"/>
        <w:keepLines w:val="0"/>
        <w:pageBreakBefore w:val="0"/>
        <w:kinsoku/>
        <w:wordWrap/>
        <w:overflowPunct/>
        <w:topLinePunct w:val="0"/>
        <w:bidi w:val="0"/>
        <w:spacing w:line="520"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6.1</w:t>
      </w:r>
      <w:r>
        <w:rPr>
          <w:rFonts w:hint="eastAsia" w:ascii="仿宋_GB2312" w:hAnsi="仿宋_GB2312" w:eastAsia="仿宋_GB2312" w:cs="仿宋_GB2312"/>
          <w:sz w:val="32"/>
          <w:szCs w:val="32"/>
        </w:rPr>
        <w:t>中标方严禁转包，一经发现，甲方将终止合同，由此产生的一切损失由中标方负责。投标方不得将中标项目主体、关键部分进行转包。</w:t>
      </w:r>
    </w:p>
    <w:p>
      <w:pPr>
        <w:keepNext w:val="0"/>
        <w:keepLines w:val="0"/>
        <w:pageBreakBefore w:val="0"/>
        <w:kinsoku/>
        <w:wordWrap/>
        <w:overflowPunct/>
        <w:topLinePunct w:val="0"/>
        <w:bidi w:val="0"/>
        <w:spacing w:line="520"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6.2</w:t>
      </w:r>
      <w:r>
        <w:rPr>
          <w:rFonts w:hint="eastAsia" w:ascii="仿宋_GB2312" w:hAnsi="仿宋_GB2312" w:eastAsia="仿宋_GB2312" w:cs="仿宋_GB2312"/>
          <w:sz w:val="32"/>
          <w:szCs w:val="32"/>
        </w:rPr>
        <w:t>根据规定，对于中标后不签订合同、签订合同不供货或供货不及时的供应商，鞍钢将给予取消合格供应商或暂停投标资格的处罚，请各投标方谨慎报名或报价。</w:t>
      </w:r>
    </w:p>
    <w:p>
      <w:pPr>
        <w:keepNext w:val="0"/>
        <w:keepLines w:val="0"/>
        <w:pageBreakBefore w:val="0"/>
        <w:kinsoku/>
        <w:wordWrap/>
        <w:overflowPunct/>
        <w:topLinePunct w:val="0"/>
        <w:bidi w:val="0"/>
        <w:spacing w:line="520"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6.3</w:t>
      </w:r>
      <w:r>
        <w:rPr>
          <w:rFonts w:hint="eastAsia" w:ascii="仿宋_GB2312" w:hAnsi="仿宋_GB2312" w:eastAsia="仿宋_GB2312" w:cs="仿宋_GB2312"/>
          <w:sz w:val="32"/>
          <w:szCs w:val="32"/>
        </w:rPr>
        <w:t>出卖人按买受人实际需求送货。</w:t>
      </w:r>
    </w:p>
    <w:p>
      <w:pPr>
        <w:keepNext w:val="0"/>
        <w:keepLines w:val="0"/>
        <w:pageBreakBefore w:val="0"/>
        <w:kinsoku/>
        <w:wordWrap/>
        <w:overflowPunct/>
        <w:topLinePunct w:val="0"/>
        <w:bidi w:val="0"/>
        <w:spacing w:line="520" w:lineRule="exact"/>
        <w:ind w:firstLine="640" w:firstLineChars="200"/>
        <w:rPr>
          <w:rFonts w:ascii="黑体" w:hAnsi="黑体" w:eastAsia="黑体" w:cs="Times New Roman"/>
          <w:sz w:val="32"/>
          <w:szCs w:val="32"/>
        </w:rPr>
      </w:pPr>
      <w:r>
        <w:rPr>
          <w:rFonts w:ascii="黑体" w:hAnsi="黑体" w:eastAsia="黑体" w:cs="黑体"/>
          <w:sz w:val="32"/>
          <w:szCs w:val="32"/>
        </w:rPr>
        <w:t>7</w:t>
      </w:r>
      <w:r>
        <w:rPr>
          <w:rFonts w:hint="eastAsia" w:ascii="黑体" w:hAnsi="黑体" w:eastAsia="黑体" w:cs="黑体"/>
          <w:sz w:val="32"/>
          <w:szCs w:val="32"/>
        </w:rPr>
        <w:t>、其他要求</w:t>
      </w:r>
    </w:p>
    <w:p>
      <w:pPr>
        <w:keepNext w:val="0"/>
        <w:keepLines w:val="0"/>
        <w:pageBreakBefore w:val="0"/>
        <w:kinsoku/>
        <w:wordWrap/>
        <w:overflowPunct/>
        <w:topLinePunct w:val="0"/>
        <w:bidi w:val="0"/>
        <w:adjustRightInd w:val="0"/>
        <w:snapToGrid w:val="0"/>
        <w:spacing w:line="520"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7.1</w:t>
      </w:r>
      <w:r>
        <w:rPr>
          <w:rFonts w:hint="eastAsia" w:ascii="仿宋_GB2312" w:hAnsi="仿宋_GB2312" w:eastAsia="仿宋_GB2312" w:cs="仿宋_GB2312"/>
          <w:sz w:val="32"/>
          <w:szCs w:val="32"/>
        </w:rPr>
        <w:t>质保期：在正常安装维护运行的情况下，设备正常运行十二个月无质量问题或货满十八个月时支付质量保证金，以先到时间为准。如在此规定时间内备件因制造质量不良而发生损坏或不能正常工作，供应商应无偿修理或更换零件或更换备件。</w:t>
      </w:r>
    </w:p>
    <w:p>
      <w:pPr>
        <w:keepNext w:val="0"/>
        <w:keepLines w:val="0"/>
        <w:pageBreakBefore w:val="0"/>
        <w:kinsoku/>
        <w:wordWrap/>
        <w:overflowPunct/>
        <w:topLinePunct w:val="0"/>
        <w:bidi w:val="0"/>
        <w:adjustRightInd w:val="0"/>
        <w:snapToGrid w:val="0"/>
        <w:spacing w:line="520"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7.2</w:t>
      </w:r>
      <w:r>
        <w:rPr>
          <w:rFonts w:hint="eastAsia" w:ascii="仿宋_GB2312" w:hAnsi="仿宋_GB2312" w:eastAsia="仿宋_GB2312" w:cs="仿宋_GB2312"/>
          <w:sz w:val="32"/>
          <w:szCs w:val="32"/>
        </w:rPr>
        <w:t>投标方具有便捷的运维条件和能力，确保所供设备长期稳定运行，接到通知后</w:t>
      </w:r>
      <w:r>
        <w:rPr>
          <w:rFonts w:ascii="仿宋_GB2312" w:hAnsi="仿宋_GB2312" w:eastAsia="仿宋_GB2312" w:cs="仿宋_GB2312"/>
          <w:sz w:val="32"/>
          <w:szCs w:val="32"/>
        </w:rPr>
        <w:t>24-48</w:t>
      </w:r>
      <w:r>
        <w:rPr>
          <w:rFonts w:hint="eastAsia" w:ascii="仿宋_GB2312" w:hAnsi="仿宋_GB2312" w:eastAsia="仿宋_GB2312" w:cs="仿宋_GB2312"/>
          <w:sz w:val="32"/>
          <w:szCs w:val="32"/>
        </w:rPr>
        <w:t>小时内赶到使用现场及时服务、维修。</w:t>
      </w:r>
    </w:p>
    <w:p>
      <w:pPr>
        <w:keepNext w:val="0"/>
        <w:keepLines w:val="0"/>
        <w:pageBreakBefore w:val="0"/>
        <w:kinsoku/>
        <w:wordWrap/>
        <w:overflowPunct/>
        <w:topLinePunct w:val="0"/>
        <w:bidi w:val="0"/>
        <w:adjustRightInd w:val="0"/>
        <w:snapToGrid w:val="0"/>
        <w:spacing w:line="520"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kern w:val="1"/>
          <w:sz w:val="32"/>
          <w:szCs w:val="32"/>
        </w:rPr>
        <w:t>7.3</w:t>
      </w:r>
      <w:r>
        <w:rPr>
          <w:rFonts w:hint="eastAsia" w:ascii="仿宋_GB2312" w:hAnsi="仿宋_GB2312" w:eastAsia="仿宋_GB2312" w:cs="仿宋_GB2312"/>
          <w:kern w:val="1"/>
          <w:sz w:val="32"/>
          <w:szCs w:val="32"/>
        </w:rPr>
        <w:t>如供应商进入现场服务，需遵守</w:t>
      </w:r>
      <w:r>
        <w:rPr>
          <w:rFonts w:hint="eastAsia" w:ascii="仿宋_GB2312" w:hAnsi="仿宋_GB2312" w:eastAsia="仿宋_GB2312" w:cs="仿宋_GB2312"/>
          <w:color w:val="auto"/>
          <w:kern w:val="1"/>
          <w:sz w:val="32"/>
          <w:szCs w:val="32"/>
          <w:highlight w:val="none"/>
          <w:lang w:val="en-US" w:eastAsia="zh-CN"/>
        </w:rPr>
        <w:t>鞍钢集团有限</w:t>
      </w:r>
      <w:r>
        <w:rPr>
          <w:rFonts w:hint="eastAsia" w:ascii="仿宋_GB2312" w:hAnsi="仿宋_GB2312" w:eastAsia="仿宋_GB2312" w:cs="仿宋_GB2312"/>
          <w:color w:val="auto"/>
          <w:kern w:val="1"/>
          <w:sz w:val="32"/>
          <w:szCs w:val="32"/>
          <w:highlight w:val="none"/>
        </w:rPr>
        <w:t>公司</w:t>
      </w:r>
      <w:r>
        <w:rPr>
          <w:rFonts w:hint="eastAsia" w:ascii="仿宋_GB2312" w:hAnsi="仿宋_GB2312" w:eastAsia="仿宋_GB2312" w:cs="仿宋_GB2312"/>
          <w:color w:val="auto"/>
          <w:kern w:val="1"/>
          <w:sz w:val="32"/>
          <w:szCs w:val="32"/>
          <w:highlight w:val="none"/>
          <w:lang w:eastAsia="zh-CN"/>
        </w:rPr>
        <w:t>、</w:t>
      </w:r>
      <w:r>
        <w:rPr>
          <w:rFonts w:hint="eastAsia" w:ascii="仿宋_GB2312" w:hAnsi="仿宋_GB2312" w:eastAsia="仿宋_GB2312" w:cs="仿宋_GB2312"/>
          <w:color w:val="auto"/>
          <w:kern w:val="1"/>
          <w:sz w:val="32"/>
          <w:szCs w:val="32"/>
          <w:highlight w:val="none"/>
          <w:lang w:val="en-US" w:eastAsia="zh-CN"/>
        </w:rPr>
        <w:t>鞍钢股份有限公司、鞍钢股份物资</w:t>
      </w:r>
      <w:r>
        <w:rPr>
          <w:rFonts w:hint="eastAsia" w:ascii="仿宋_GB2312" w:hAnsi="仿宋_GB2312" w:eastAsia="仿宋_GB2312" w:cs="仿宋_GB2312"/>
          <w:color w:val="auto"/>
          <w:kern w:val="1"/>
          <w:sz w:val="32"/>
          <w:szCs w:val="32"/>
          <w:highlight w:val="none"/>
        </w:rPr>
        <w:t>采购中心</w:t>
      </w:r>
      <w:r>
        <w:rPr>
          <w:rFonts w:hint="eastAsia" w:ascii="仿宋_GB2312" w:hAnsi="仿宋_GB2312" w:eastAsia="仿宋_GB2312" w:cs="仿宋_GB2312"/>
          <w:color w:val="auto"/>
          <w:kern w:val="1"/>
          <w:sz w:val="32"/>
          <w:szCs w:val="32"/>
        </w:rPr>
        <w:t>相关管理</w:t>
      </w:r>
      <w:r>
        <w:rPr>
          <w:rFonts w:hint="eastAsia" w:ascii="仿宋_GB2312" w:hAnsi="仿宋_GB2312" w:eastAsia="仿宋_GB2312" w:cs="仿宋_GB2312"/>
          <w:kern w:val="1"/>
          <w:sz w:val="32"/>
          <w:szCs w:val="32"/>
        </w:rPr>
        <w:t>规定。</w:t>
      </w:r>
    </w:p>
    <w:p>
      <w:pPr>
        <w:keepNext w:val="0"/>
        <w:keepLines w:val="0"/>
        <w:pageBreakBefore w:val="0"/>
        <w:kinsoku/>
        <w:wordWrap/>
        <w:overflowPunct/>
        <w:topLinePunct w:val="0"/>
        <w:bidi w:val="0"/>
        <w:spacing w:line="520"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kern w:val="1"/>
          <w:sz w:val="32"/>
          <w:szCs w:val="32"/>
        </w:rPr>
        <w:t>7.4</w:t>
      </w:r>
      <w:r>
        <w:rPr>
          <w:rFonts w:hint="eastAsia" w:ascii="仿宋_GB2312" w:hAnsi="仿宋_GB2312" w:eastAsia="仿宋_GB2312" w:cs="仿宋_GB2312"/>
          <w:kern w:val="1"/>
          <w:sz w:val="32"/>
          <w:szCs w:val="32"/>
        </w:rPr>
        <w:t>买受人保留再议价的权力。</w:t>
      </w:r>
    </w:p>
    <w:p>
      <w:pPr>
        <w:keepNext w:val="0"/>
        <w:keepLines w:val="0"/>
        <w:pageBreakBefore w:val="0"/>
        <w:widowControl/>
        <w:shd w:val="clear" w:color="auto" w:fill="FFFFFF"/>
        <w:kinsoku/>
        <w:wordWrap/>
        <w:overflowPunct/>
        <w:topLinePunct w:val="0"/>
        <w:bidi w:val="0"/>
        <w:spacing w:line="520" w:lineRule="exact"/>
        <w:ind w:firstLine="640" w:firstLineChars="200"/>
        <w:jc w:val="left"/>
        <w:rPr>
          <w:rFonts w:hint="eastAsia" w:ascii="仿宋_GB2312" w:hAnsi="仿宋_GB2312" w:eastAsia="仿宋_GB2312" w:cs="仿宋_GB2312"/>
          <w:color w:val="000000"/>
          <w:sz w:val="32"/>
          <w:szCs w:val="32"/>
        </w:rPr>
      </w:pPr>
      <w:r>
        <w:rPr>
          <w:rFonts w:ascii="仿宋_GB2312" w:hAnsi="仿宋_GB2312" w:eastAsia="仿宋_GB2312" w:cs="仿宋_GB2312"/>
          <w:color w:val="000000"/>
          <w:kern w:val="0"/>
          <w:sz w:val="32"/>
          <w:szCs w:val="32"/>
        </w:rPr>
        <w:t>7.5</w:t>
      </w:r>
      <w:r>
        <w:rPr>
          <w:rFonts w:hint="eastAsia" w:ascii="仿宋" w:hAnsi="仿宋" w:eastAsia="仿宋" w:cs="仿宋"/>
          <w:color w:val="000000"/>
          <w:sz w:val="32"/>
          <w:szCs w:val="32"/>
        </w:rPr>
        <w:t>本要求解释权归</w:t>
      </w:r>
      <w:r>
        <w:rPr>
          <w:rFonts w:hint="eastAsia" w:ascii="仿宋_GB2312" w:hAnsi="仿宋_GB2312" w:eastAsia="仿宋_GB2312" w:cs="仿宋_GB2312"/>
          <w:color w:val="000000"/>
          <w:sz w:val="32"/>
          <w:szCs w:val="32"/>
        </w:rPr>
        <w:t>鞍钢股份</w:t>
      </w:r>
      <w:r>
        <w:rPr>
          <w:rFonts w:hint="eastAsia" w:ascii="仿宋_GB2312" w:hAnsi="仿宋_GB2312" w:eastAsia="仿宋_GB2312" w:cs="仿宋_GB2312"/>
          <w:color w:val="000000"/>
          <w:sz w:val="32"/>
          <w:szCs w:val="32"/>
          <w:lang w:eastAsia="zh-CN"/>
        </w:rPr>
        <w:t>物资</w:t>
      </w:r>
      <w:r>
        <w:rPr>
          <w:rFonts w:hint="eastAsia" w:ascii="仿宋_GB2312" w:hAnsi="仿宋_GB2312" w:eastAsia="仿宋_GB2312" w:cs="仿宋_GB2312"/>
          <w:color w:val="000000"/>
          <w:sz w:val="32"/>
          <w:szCs w:val="32"/>
        </w:rPr>
        <w:t>采购中心。</w:t>
      </w:r>
    </w:p>
    <w:p>
      <w:pPr>
        <w:keepNext w:val="0"/>
        <w:keepLines w:val="0"/>
        <w:pageBreakBefore w:val="0"/>
        <w:widowControl/>
        <w:shd w:val="clear" w:color="auto" w:fill="FFFFFF"/>
        <w:kinsoku/>
        <w:wordWrap/>
        <w:overflowPunct/>
        <w:topLinePunct w:val="0"/>
        <w:bidi w:val="0"/>
        <w:spacing w:line="520" w:lineRule="exact"/>
        <w:ind w:firstLine="640" w:firstLineChars="200"/>
        <w:jc w:val="left"/>
        <w:rPr>
          <w:rFonts w:hint="eastAsia" w:ascii="仿宋_GB2312" w:hAnsi="仿宋_GB2312" w:eastAsia="仿宋_GB2312" w:cs="仿宋_GB2312"/>
          <w:color w:val="000000"/>
          <w:sz w:val="32"/>
          <w:szCs w:val="32"/>
        </w:rPr>
      </w:pPr>
    </w:p>
    <w:p>
      <w:pPr>
        <w:keepNext w:val="0"/>
        <w:keepLines w:val="0"/>
        <w:pageBreakBefore w:val="0"/>
        <w:kinsoku/>
        <w:wordWrap/>
        <w:overflowPunct/>
        <w:topLinePunct w:val="0"/>
        <w:bidi w:val="0"/>
        <w:spacing w:line="520" w:lineRule="exact"/>
        <w:ind w:firstLine="4160" w:firstLineChars="1300"/>
        <w:jc w:val="left"/>
        <w:rPr>
          <w:rFonts w:ascii="仿宋_GB2312" w:hAnsi="仿宋_GB2312" w:eastAsia="仿宋_GB2312" w:cs="Times New Roman"/>
          <w:sz w:val="32"/>
          <w:szCs w:val="32"/>
        </w:rPr>
      </w:pPr>
      <w:r>
        <w:rPr>
          <w:rFonts w:hint="eastAsia" w:ascii="仿宋_GB2312" w:hAnsi="仿宋_GB2312" w:eastAsia="仿宋_GB2312" w:cs="仿宋_GB2312"/>
          <w:sz w:val="32"/>
          <w:szCs w:val="32"/>
        </w:rPr>
        <w:t>鞍钢股份</w:t>
      </w:r>
      <w:r>
        <w:rPr>
          <w:rFonts w:hint="eastAsia" w:ascii="仿宋_GB2312" w:hAnsi="仿宋_GB2312" w:eastAsia="仿宋_GB2312" w:cs="仿宋_GB2312"/>
          <w:sz w:val="32"/>
          <w:szCs w:val="32"/>
          <w:lang w:eastAsia="zh-CN"/>
        </w:rPr>
        <w:t>物资</w:t>
      </w:r>
      <w:r>
        <w:rPr>
          <w:rFonts w:hint="eastAsia" w:ascii="仿宋_GB2312" w:hAnsi="仿宋_GB2312" w:eastAsia="仿宋_GB2312" w:cs="仿宋_GB2312"/>
          <w:sz w:val="32"/>
          <w:szCs w:val="32"/>
        </w:rPr>
        <w:t>采购中心</w:t>
      </w:r>
    </w:p>
    <w:p>
      <w:pPr>
        <w:keepNext w:val="0"/>
        <w:keepLines w:val="0"/>
        <w:pageBreakBefore w:val="0"/>
        <w:widowControl/>
        <w:shd w:val="clear" w:color="auto" w:fill="FFFFFF"/>
        <w:tabs>
          <w:tab w:val="left" w:pos="5406"/>
        </w:tabs>
        <w:kinsoku/>
        <w:wordWrap/>
        <w:overflowPunct/>
        <w:topLinePunct w:val="0"/>
        <w:bidi w:val="0"/>
        <w:spacing w:line="520" w:lineRule="exact"/>
        <w:ind w:firstLine="4480" w:firstLineChars="1400"/>
        <w:jc w:val="left"/>
        <w:rPr>
          <w:rFonts w:ascii="黑体" w:hAnsi="黑体" w:eastAsia="黑体" w:cs="Times New Roman"/>
          <w:sz w:val="32"/>
          <w:szCs w:val="32"/>
        </w:rPr>
      </w:pP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w:t>
      </w:r>
    </w:p>
    <w:sectPr>
      <w:pgSz w:w="11906" w:h="16838"/>
      <w:pgMar w:top="2098"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1E1F45"/>
    <w:multiLevelType w:val="singleLevel"/>
    <w:tmpl w:val="121E1F45"/>
    <w:lvl w:ilvl="0" w:tentative="0">
      <w:start w:val="6"/>
      <w:numFmt w:val="decimal"/>
      <w:suff w:val="nothing"/>
      <w:lvlText w:val="%1、"/>
      <w:lvlJc w:val="left"/>
    </w:lvl>
  </w:abstractNum>
  <w:abstractNum w:abstractNumId="1">
    <w:nsid w:val="2C73097E"/>
    <w:multiLevelType w:val="singleLevel"/>
    <w:tmpl w:val="2C73097E"/>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A74"/>
    <w:rsid w:val="00166806"/>
    <w:rsid w:val="00953A97"/>
    <w:rsid w:val="009A6A74"/>
    <w:rsid w:val="00D930DE"/>
    <w:rsid w:val="00FB531B"/>
    <w:rsid w:val="01110250"/>
    <w:rsid w:val="015E3D75"/>
    <w:rsid w:val="030A3BFE"/>
    <w:rsid w:val="03876827"/>
    <w:rsid w:val="03907A08"/>
    <w:rsid w:val="03AF3733"/>
    <w:rsid w:val="03FC0C17"/>
    <w:rsid w:val="04141C12"/>
    <w:rsid w:val="05025C1D"/>
    <w:rsid w:val="0531722F"/>
    <w:rsid w:val="053C3C3A"/>
    <w:rsid w:val="058A7125"/>
    <w:rsid w:val="05D82EC8"/>
    <w:rsid w:val="06E93F33"/>
    <w:rsid w:val="070020EB"/>
    <w:rsid w:val="073B743D"/>
    <w:rsid w:val="075371AB"/>
    <w:rsid w:val="07C619D8"/>
    <w:rsid w:val="07C943B0"/>
    <w:rsid w:val="082E4B80"/>
    <w:rsid w:val="08980FA6"/>
    <w:rsid w:val="08DD7B45"/>
    <w:rsid w:val="09382E18"/>
    <w:rsid w:val="094E057C"/>
    <w:rsid w:val="094F473E"/>
    <w:rsid w:val="09C2480F"/>
    <w:rsid w:val="09E16E17"/>
    <w:rsid w:val="0A95613E"/>
    <w:rsid w:val="0AD20CA1"/>
    <w:rsid w:val="0B1426D2"/>
    <w:rsid w:val="0B293A5F"/>
    <w:rsid w:val="0B3F32C0"/>
    <w:rsid w:val="0B4A3889"/>
    <w:rsid w:val="0CAA36BB"/>
    <w:rsid w:val="0CEE1EC4"/>
    <w:rsid w:val="0D1D7190"/>
    <w:rsid w:val="0D5757B4"/>
    <w:rsid w:val="0DE74E5D"/>
    <w:rsid w:val="0E5B31F9"/>
    <w:rsid w:val="0E6F3328"/>
    <w:rsid w:val="0E956D7D"/>
    <w:rsid w:val="0EA47575"/>
    <w:rsid w:val="0F86037A"/>
    <w:rsid w:val="10FB2FD0"/>
    <w:rsid w:val="111C7A20"/>
    <w:rsid w:val="112E371D"/>
    <w:rsid w:val="115320F9"/>
    <w:rsid w:val="11587A20"/>
    <w:rsid w:val="11C449B6"/>
    <w:rsid w:val="11FD32C8"/>
    <w:rsid w:val="120E5E65"/>
    <w:rsid w:val="12356A46"/>
    <w:rsid w:val="12521327"/>
    <w:rsid w:val="12E5727E"/>
    <w:rsid w:val="141D77E7"/>
    <w:rsid w:val="142D5A31"/>
    <w:rsid w:val="145B595A"/>
    <w:rsid w:val="14BB074F"/>
    <w:rsid w:val="14DD7019"/>
    <w:rsid w:val="15D56D67"/>
    <w:rsid w:val="16450C97"/>
    <w:rsid w:val="1661334D"/>
    <w:rsid w:val="174A2743"/>
    <w:rsid w:val="17D06220"/>
    <w:rsid w:val="18585BC1"/>
    <w:rsid w:val="18DB1F0E"/>
    <w:rsid w:val="19523842"/>
    <w:rsid w:val="19756550"/>
    <w:rsid w:val="19C73C6E"/>
    <w:rsid w:val="19E5140F"/>
    <w:rsid w:val="19E90A8E"/>
    <w:rsid w:val="19FB710A"/>
    <w:rsid w:val="1AB75C63"/>
    <w:rsid w:val="1ABA0C1C"/>
    <w:rsid w:val="1B8E552B"/>
    <w:rsid w:val="1C26713F"/>
    <w:rsid w:val="1CCF3764"/>
    <w:rsid w:val="1CE71E75"/>
    <w:rsid w:val="1D05332A"/>
    <w:rsid w:val="1D144CD6"/>
    <w:rsid w:val="1D3E36F1"/>
    <w:rsid w:val="1D613643"/>
    <w:rsid w:val="1E29560A"/>
    <w:rsid w:val="1E3D6395"/>
    <w:rsid w:val="1E47196A"/>
    <w:rsid w:val="1FA53B6D"/>
    <w:rsid w:val="1FAB4482"/>
    <w:rsid w:val="1FAF4737"/>
    <w:rsid w:val="1FB91219"/>
    <w:rsid w:val="201C201C"/>
    <w:rsid w:val="20211157"/>
    <w:rsid w:val="20AA4D5A"/>
    <w:rsid w:val="216E75E5"/>
    <w:rsid w:val="22765384"/>
    <w:rsid w:val="22A25495"/>
    <w:rsid w:val="22F53F69"/>
    <w:rsid w:val="232D03A1"/>
    <w:rsid w:val="234466F7"/>
    <w:rsid w:val="23AB78FA"/>
    <w:rsid w:val="24236363"/>
    <w:rsid w:val="24A11A27"/>
    <w:rsid w:val="250A5316"/>
    <w:rsid w:val="252911DF"/>
    <w:rsid w:val="259103BA"/>
    <w:rsid w:val="2726751C"/>
    <w:rsid w:val="29E47BD5"/>
    <w:rsid w:val="29FF56F6"/>
    <w:rsid w:val="2A163DD3"/>
    <w:rsid w:val="2A1E7F6B"/>
    <w:rsid w:val="2A505F95"/>
    <w:rsid w:val="2A9C2E2C"/>
    <w:rsid w:val="2A9E721B"/>
    <w:rsid w:val="2AE15CE9"/>
    <w:rsid w:val="2BA17A71"/>
    <w:rsid w:val="2C1D2D14"/>
    <w:rsid w:val="2C1F3172"/>
    <w:rsid w:val="2C622328"/>
    <w:rsid w:val="2CCC50A2"/>
    <w:rsid w:val="2CF15A5D"/>
    <w:rsid w:val="2D0A07F1"/>
    <w:rsid w:val="2E126E25"/>
    <w:rsid w:val="2E383872"/>
    <w:rsid w:val="2ED846B6"/>
    <w:rsid w:val="2F673488"/>
    <w:rsid w:val="2FCC3878"/>
    <w:rsid w:val="30792A97"/>
    <w:rsid w:val="30CB701E"/>
    <w:rsid w:val="31611710"/>
    <w:rsid w:val="31C62C74"/>
    <w:rsid w:val="31F75486"/>
    <w:rsid w:val="35692975"/>
    <w:rsid w:val="360A79CD"/>
    <w:rsid w:val="36A63959"/>
    <w:rsid w:val="37006963"/>
    <w:rsid w:val="370A1FDB"/>
    <w:rsid w:val="374E17CB"/>
    <w:rsid w:val="37953655"/>
    <w:rsid w:val="37D51806"/>
    <w:rsid w:val="39106A23"/>
    <w:rsid w:val="391934DD"/>
    <w:rsid w:val="39764245"/>
    <w:rsid w:val="3AAA0BBC"/>
    <w:rsid w:val="3ACB409A"/>
    <w:rsid w:val="3B2E1EA3"/>
    <w:rsid w:val="3D9D628D"/>
    <w:rsid w:val="3DEE409E"/>
    <w:rsid w:val="3E712BAE"/>
    <w:rsid w:val="3E921EB8"/>
    <w:rsid w:val="3E92283C"/>
    <w:rsid w:val="3ECB1DC0"/>
    <w:rsid w:val="3FF97F98"/>
    <w:rsid w:val="40241047"/>
    <w:rsid w:val="419F3A6D"/>
    <w:rsid w:val="41BA6A61"/>
    <w:rsid w:val="421107CE"/>
    <w:rsid w:val="425668E1"/>
    <w:rsid w:val="428532D2"/>
    <w:rsid w:val="42B647C2"/>
    <w:rsid w:val="43043580"/>
    <w:rsid w:val="4489390D"/>
    <w:rsid w:val="44BD3BD6"/>
    <w:rsid w:val="450155C4"/>
    <w:rsid w:val="45C062EB"/>
    <w:rsid w:val="461C3792"/>
    <w:rsid w:val="47033CC8"/>
    <w:rsid w:val="47056F93"/>
    <w:rsid w:val="473C1B2B"/>
    <w:rsid w:val="47B87A69"/>
    <w:rsid w:val="48AB123E"/>
    <w:rsid w:val="48D12854"/>
    <w:rsid w:val="49272A89"/>
    <w:rsid w:val="49A5092C"/>
    <w:rsid w:val="4A706FB0"/>
    <w:rsid w:val="4A8A7B5A"/>
    <w:rsid w:val="4AC66135"/>
    <w:rsid w:val="4B3C797D"/>
    <w:rsid w:val="4B9D671D"/>
    <w:rsid w:val="4CAC0E79"/>
    <w:rsid w:val="4CD22179"/>
    <w:rsid w:val="4CEA63BF"/>
    <w:rsid w:val="4D163DBF"/>
    <w:rsid w:val="4D6B2A02"/>
    <w:rsid w:val="4E5C1522"/>
    <w:rsid w:val="4EA97D42"/>
    <w:rsid w:val="4EAD4F9F"/>
    <w:rsid w:val="4EE007EF"/>
    <w:rsid w:val="4EE74B80"/>
    <w:rsid w:val="4EF72C1C"/>
    <w:rsid w:val="4FE46204"/>
    <w:rsid w:val="4FF83AC3"/>
    <w:rsid w:val="50175272"/>
    <w:rsid w:val="5080360D"/>
    <w:rsid w:val="50887C99"/>
    <w:rsid w:val="50C65BAC"/>
    <w:rsid w:val="50F92314"/>
    <w:rsid w:val="51023F76"/>
    <w:rsid w:val="51CF296C"/>
    <w:rsid w:val="51E41514"/>
    <w:rsid w:val="52050320"/>
    <w:rsid w:val="5226590A"/>
    <w:rsid w:val="532E5168"/>
    <w:rsid w:val="54545609"/>
    <w:rsid w:val="545D3A94"/>
    <w:rsid w:val="54E82E44"/>
    <w:rsid w:val="554C22CE"/>
    <w:rsid w:val="561861CC"/>
    <w:rsid w:val="56661B4F"/>
    <w:rsid w:val="56B518CE"/>
    <w:rsid w:val="57402F77"/>
    <w:rsid w:val="578C7181"/>
    <w:rsid w:val="58C542AA"/>
    <w:rsid w:val="58E34D76"/>
    <w:rsid w:val="58F226ED"/>
    <w:rsid w:val="591F64C4"/>
    <w:rsid w:val="5A0719AA"/>
    <w:rsid w:val="5A993286"/>
    <w:rsid w:val="5AD52888"/>
    <w:rsid w:val="5AF736FB"/>
    <w:rsid w:val="5C6575A6"/>
    <w:rsid w:val="5C7A34FE"/>
    <w:rsid w:val="5CAB2299"/>
    <w:rsid w:val="5CFC31BC"/>
    <w:rsid w:val="5D174600"/>
    <w:rsid w:val="5D5723B1"/>
    <w:rsid w:val="5DDB7D31"/>
    <w:rsid w:val="5E0401FE"/>
    <w:rsid w:val="5ED52822"/>
    <w:rsid w:val="5EE42E3D"/>
    <w:rsid w:val="5EEE6237"/>
    <w:rsid w:val="5F6C6AEA"/>
    <w:rsid w:val="60783253"/>
    <w:rsid w:val="60CB17FA"/>
    <w:rsid w:val="61261713"/>
    <w:rsid w:val="614C3443"/>
    <w:rsid w:val="61B67DF1"/>
    <w:rsid w:val="61D10370"/>
    <w:rsid w:val="61E7472F"/>
    <w:rsid w:val="62071A73"/>
    <w:rsid w:val="628A23D2"/>
    <w:rsid w:val="62D3782F"/>
    <w:rsid w:val="6324517A"/>
    <w:rsid w:val="636C593C"/>
    <w:rsid w:val="64185D70"/>
    <w:rsid w:val="64286A12"/>
    <w:rsid w:val="64356146"/>
    <w:rsid w:val="649866F5"/>
    <w:rsid w:val="65827499"/>
    <w:rsid w:val="65994367"/>
    <w:rsid w:val="65DF37BF"/>
    <w:rsid w:val="666D7EAC"/>
    <w:rsid w:val="668D029B"/>
    <w:rsid w:val="66D52E3B"/>
    <w:rsid w:val="677B2672"/>
    <w:rsid w:val="68045EB2"/>
    <w:rsid w:val="68523557"/>
    <w:rsid w:val="68A80400"/>
    <w:rsid w:val="6904404A"/>
    <w:rsid w:val="69332CB0"/>
    <w:rsid w:val="69943784"/>
    <w:rsid w:val="69E01269"/>
    <w:rsid w:val="6A375587"/>
    <w:rsid w:val="6B2C79E4"/>
    <w:rsid w:val="6B5121BA"/>
    <w:rsid w:val="6BF067AC"/>
    <w:rsid w:val="6CAE2E52"/>
    <w:rsid w:val="6D5D329E"/>
    <w:rsid w:val="6DCF5272"/>
    <w:rsid w:val="6E123F24"/>
    <w:rsid w:val="6E1C7649"/>
    <w:rsid w:val="6E1D7857"/>
    <w:rsid w:val="6E3A2157"/>
    <w:rsid w:val="6E6D6BF9"/>
    <w:rsid w:val="6EAF5DA5"/>
    <w:rsid w:val="6EB54E62"/>
    <w:rsid w:val="6EC8494C"/>
    <w:rsid w:val="6F3911E0"/>
    <w:rsid w:val="6F8D112D"/>
    <w:rsid w:val="6FA34642"/>
    <w:rsid w:val="6FF35FBC"/>
    <w:rsid w:val="70FE1E51"/>
    <w:rsid w:val="7137124E"/>
    <w:rsid w:val="71704151"/>
    <w:rsid w:val="71C066CC"/>
    <w:rsid w:val="71FA350A"/>
    <w:rsid w:val="73785000"/>
    <w:rsid w:val="75450F77"/>
    <w:rsid w:val="75E22505"/>
    <w:rsid w:val="76427CA6"/>
    <w:rsid w:val="76725C62"/>
    <w:rsid w:val="772A798F"/>
    <w:rsid w:val="775704C9"/>
    <w:rsid w:val="78145DE5"/>
    <w:rsid w:val="78BB48A3"/>
    <w:rsid w:val="78F02F79"/>
    <w:rsid w:val="78FE2D8D"/>
    <w:rsid w:val="79667075"/>
    <w:rsid w:val="79992C0C"/>
    <w:rsid w:val="79B3321B"/>
    <w:rsid w:val="79DA6ECD"/>
    <w:rsid w:val="7A061D08"/>
    <w:rsid w:val="7A4D1DB6"/>
    <w:rsid w:val="7AF716A8"/>
    <w:rsid w:val="7C5806C3"/>
    <w:rsid w:val="7C7E732C"/>
    <w:rsid w:val="7CA23D47"/>
    <w:rsid w:val="7CAB44CA"/>
    <w:rsid w:val="7CAE69C3"/>
    <w:rsid w:val="7D494BA7"/>
    <w:rsid w:val="7D603FCB"/>
    <w:rsid w:val="7E1E24D9"/>
    <w:rsid w:val="7E564B54"/>
    <w:rsid w:val="7F211C9E"/>
    <w:rsid w:val="7F8202A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9"/>
    <w:semiHidden/>
    <w:qFormat/>
    <w:uiPriority w:val="99"/>
    <w:pPr>
      <w:jc w:val="left"/>
    </w:p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Autospacing="1" w:afterAutospacing="1"/>
      <w:jc w:val="left"/>
    </w:pPr>
    <w:rPr>
      <w:kern w:val="0"/>
      <w:sz w:val="24"/>
      <w:szCs w:val="24"/>
    </w:rPr>
  </w:style>
  <w:style w:type="character" w:styleId="8">
    <w:name w:val="annotation reference"/>
    <w:basedOn w:val="7"/>
    <w:semiHidden/>
    <w:qFormat/>
    <w:uiPriority w:val="99"/>
    <w:rPr>
      <w:sz w:val="21"/>
      <w:szCs w:val="21"/>
    </w:rPr>
  </w:style>
  <w:style w:type="character" w:customStyle="1" w:styleId="9">
    <w:name w:val="Comment Text Char"/>
    <w:basedOn w:val="7"/>
    <w:link w:val="2"/>
    <w:semiHidden/>
    <w:qFormat/>
    <w:uiPriority w:val="99"/>
    <w:rPr>
      <w:rFonts w:ascii="Calibri" w:hAnsi="Calibri" w:cs="Calibri"/>
      <w:szCs w:val="21"/>
    </w:rPr>
  </w:style>
  <w:style w:type="paragraph" w:customStyle="1" w:styleId="10">
    <w:name w:val="Char"/>
    <w:basedOn w:val="1"/>
    <w:qFormat/>
    <w:uiPriority w:val="99"/>
    <w:pPr>
      <w:adjustRightInd w:val="0"/>
      <w:spacing w:line="360" w:lineRule="auto"/>
    </w:pPr>
    <w:rPr>
      <w:rFonts w:ascii="Times New Roman" w:hAnsi="Times New Roman" w:cs="Times New Roman"/>
      <w:kern w:val="0"/>
      <w:sz w:val="24"/>
      <w:szCs w:val="24"/>
    </w:rPr>
  </w:style>
  <w:style w:type="character" w:customStyle="1" w:styleId="11">
    <w:name w:val="Header Char"/>
    <w:basedOn w:val="7"/>
    <w:link w:val="4"/>
    <w:semiHidden/>
    <w:qFormat/>
    <w:uiPriority w:val="99"/>
    <w:rPr>
      <w:rFonts w:ascii="Calibri" w:hAnsi="Calibri" w:cs="Calibri"/>
      <w:sz w:val="18"/>
      <w:szCs w:val="18"/>
    </w:rPr>
  </w:style>
  <w:style w:type="character" w:customStyle="1" w:styleId="12">
    <w:name w:val="Footer Char"/>
    <w:basedOn w:val="7"/>
    <w:link w:val="3"/>
    <w:semiHidden/>
    <w:qFormat/>
    <w:uiPriority w:val="99"/>
    <w:rPr>
      <w:rFonts w:ascii="Calibri" w:hAnsi="Calibri" w:cs="Calibri"/>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Microsoft</Company>
  <Pages>4</Pages>
  <Words>1063</Words>
  <Characters>1074</Characters>
  <Lines>0</Lines>
  <Paragraphs>0</Paragraphs>
  <TotalTime>1</TotalTime>
  <ScaleCrop>false</ScaleCrop>
  <LinksUpToDate>false</LinksUpToDate>
  <CharactersWithSpaces>0</CharactersWithSpaces>
  <Application>WPS Office_11.8.2.12307_F1E327BC-269C-435d-A152-05C5408002CA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2024-07-16T10:34:00Z</dcterms:created>
  <dc:creator>Administrator</dc:creator>
  <cp:lastModifiedBy>王恩家</cp:lastModifiedBy>
  <dcterms:modified xsi:type="dcterms:W3CDTF">2026-09-01T06:03:17Z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2052-11.8.2.12307</vt:lpwstr>
  </property>
  <property fmtid="{D5CDD505-2E9C-101B-9397-08002B2CF9AE}" pid="3" name="ICV">
    <vt:lpwstr>B1865EB195284097989770FFD7BD95B1</vt:lpwstr>
  </property>
</Properties>
</file>