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鞍钢招标有限公司评标专家管理办法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44"/>
          <w:szCs w:val="44"/>
          <w:highlight w:val="none"/>
          <w:lang w:eastAsia="zh-CN"/>
        </w:rPr>
      </w:pPr>
      <w:r>
        <w:rPr>
          <w:rFonts w:hint="eastAsia" w:ascii="宋体" w:hAnsi="宋体" w:cs="宋体"/>
          <w:b/>
          <w:bCs/>
          <w:color w:val="auto"/>
          <w:sz w:val="44"/>
          <w:szCs w:val="44"/>
          <w:highlight w:val="none"/>
          <w:lang w:eastAsia="zh-CN"/>
        </w:rPr>
        <w:t>（</w:t>
      </w:r>
      <w:r>
        <w:rPr>
          <w:rFonts w:hint="eastAsia" w:ascii="宋体" w:hAnsi="宋体" w:cs="宋体"/>
          <w:b/>
          <w:bCs/>
          <w:color w:val="auto"/>
          <w:sz w:val="44"/>
          <w:szCs w:val="44"/>
          <w:highlight w:val="none"/>
          <w:lang w:val="en-US" w:eastAsia="zh-CN"/>
        </w:rPr>
        <w:t>节选</w:t>
      </w:r>
      <w:r>
        <w:rPr>
          <w:rFonts w:hint="eastAsia" w:ascii="宋体" w:hAnsi="宋体" w:cs="宋体"/>
          <w:b/>
          <w:bCs/>
          <w:color w:val="auto"/>
          <w:sz w:val="44"/>
          <w:szCs w:val="44"/>
          <w:highlight w:val="none"/>
          <w:lang w:eastAsia="zh-CN"/>
        </w:rPr>
        <w:t>）</w:t>
      </w:r>
    </w:p>
    <w:p>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cs="仿宋"/>
          <w:b/>
          <w:bCs/>
          <w:color w:val="auto"/>
          <w:sz w:val="32"/>
          <w:szCs w:val="32"/>
          <w:highlight w:val="none"/>
          <w:lang w:val="en-US" w:eastAsia="zh-CN"/>
        </w:rPr>
      </w:pPr>
      <w:r>
        <w:rPr>
          <w:rFonts w:hint="eastAsia" w:ascii="宋体" w:hAnsi="宋体" w:cs="仿宋"/>
          <w:b/>
          <w:bCs/>
          <w:color w:val="auto"/>
          <w:sz w:val="32"/>
          <w:szCs w:val="32"/>
          <w:highlight w:val="none"/>
          <w:lang w:val="en-US" w:eastAsia="zh-CN"/>
        </w:rPr>
        <w:t>第三章</w:t>
      </w:r>
      <w:r>
        <w:rPr>
          <w:rFonts w:hint="eastAsia" w:ascii="宋体" w:hAnsi="宋体" w:cs="仿宋"/>
          <w:b/>
          <w:bCs/>
          <w:color w:val="auto"/>
          <w:sz w:val="32"/>
          <w:szCs w:val="32"/>
          <w:highlight w:val="none"/>
        </w:rPr>
        <w:t xml:space="preserve"> </w:t>
      </w:r>
      <w:r>
        <w:rPr>
          <w:rFonts w:hint="eastAsia" w:ascii="宋体" w:hAnsi="宋体" w:cs="仿宋"/>
          <w:b/>
          <w:bCs/>
          <w:color w:val="auto"/>
          <w:sz w:val="32"/>
          <w:szCs w:val="32"/>
          <w:highlight w:val="none"/>
          <w:lang w:val="en-US" w:eastAsia="zh-CN"/>
        </w:rPr>
        <w:t xml:space="preserve"> </w:t>
      </w:r>
      <w:r>
        <w:rPr>
          <w:rFonts w:hint="eastAsia" w:ascii="宋体" w:hAnsi="宋体" w:cs="仿宋"/>
          <w:b/>
          <w:bCs/>
          <w:color w:val="auto"/>
          <w:sz w:val="32"/>
          <w:szCs w:val="32"/>
          <w:highlight w:val="none"/>
        </w:rPr>
        <w:t>评标专家</w:t>
      </w:r>
      <w:r>
        <w:rPr>
          <w:rFonts w:hint="eastAsia" w:ascii="宋体" w:hAnsi="宋体" w:cs="仿宋"/>
          <w:b/>
          <w:bCs/>
          <w:color w:val="auto"/>
          <w:sz w:val="32"/>
          <w:szCs w:val="32"/>
          <w:highlight w:val="none"/>
          <w:lang w:val="en-US" w:eastAsia="zh-CN"/>
        </w:rPr>
        <w:t>入选要求</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highlight w:val="none"/>
          <w:lang w:val="en-US" w:eastAsia="zh-CN"/>
        </w:rPr>
      </w:pP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ascii="仿宋_GB2312" w:hAnsi="仿宋" w:eastAsia="仿宋_GB2312" w:cs="Times New Roman"/>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第十一条 </w:t>
      </w:r>
      <w:r>
        <w:rPr>
          <w:rFonts w:hint="eastAsia" w:ascii="仿宋_GB2312" w:hAnsi="仿宋" w:eastAsia="仿宋_GB2312" w:cs="仿宋"/>
          <w:color w:val="auto"/>
          <w:sz w:val="32"/>
          <w:szCs w:val="32"/>
          <w:highlight w:val="none"/>
          <w:lang w:val="en-US" w:eastAsia="zh-CN"/>
        </w:rPr>
        <w:t>鞍钢集团</w:t>
      </w:r>
      <w:r>
        <w:rPr>
          <w:rFonts w:hint="eastAsia" w:ascii="仿宋_GB2312" w:hAnsi="仿宋" w:eastAsia="仿宋_GB2312" w:cs="仿宋"/>
          <w:color w:val="auto"/>
          <w:sz w:val="32"/>
          <w:szCs w:val="32"/>
          <w:highlight w:val="none"/>
        </w:rPr>
        <w:t>评标专家按其来源，分为内部评标专家和外部评标专家：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rPr>
        <w:t>（一）内部评标专家来自鞍钢集团各单位；</w:t>
      </w:r>
    </w:p>
    <w:p>
      <w:pPr>
        <w:spacing w:line="560" w:lineRule="exact"/>
        <w:ind w:firstLine="640" w:firstLineChars="200"/>
        <w:rPr>
          <w:rFonts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（二）外部评标专家来自</w:t>
      </w:r>
      <w:r>
        <w:rPr>
          <w:rFonts w:hint="eastAsia" w:ascii="仿宋_GB2312" w:hAnsi="仿宋" w:eastAsia="仿宋_GB2312" w:cs="仿宋"/>
          <w:color w:val="auto"/>
          <w:sz w:val="32"/>
          <w:szCs w:val="32"/>
          <w:highlight w:val="none"/>
          <w:lang w:val="en-US" w:eastAsia="zh-CN"/>
        </w:rPr>
        <w:t>鞍钢集团以外的</w:t>
      </w:r>
      <w:r>
        <w:rPr>
          <w:rFonts w:hint="eastAsia" w:ascii="仿宋_GB2312" w:hAnsi="仿宋" w:eastAsia="仿宋_GB2312" w:cs="仿宋"/>
          <w:color w:val="auto"/>
          <w:sz w:val="32"/>
          <w:szCs w:val="32"/>
          <w:highlight w:val="none"/>
        </w:rPr>
        <w:t>各高等院校、科研机构和企事业单位</w:t>
      </w:r>
      <w:r>
        <w:rPr>
          <w:rFonts w:hint="eastAsia" w:ascii="仿宋_GB2312" w:hAnsi="仿宋" w:eastAsia="仿宋_GB2312" w:cs="仿宋"/>
          <w:color w:val="auto"/>
          <w:sz w:val="32"/>
          <w:szCs w:val="32"/>
          <w:highlight w:val="none"/>
          <w:lang w:eastAsia="zh-CN"/>
        </w:rPr>
        <w:t>等</w:t>
      </w:r>
      <w:r>
        <w:rPr>
          <w:rFonts w:hint="eastAsia" w:ascii="仿宋_GB2312" w:hAnsi="仿宋" w:eastAsia="仿宋_GB2312" w:cs="仿宋"/>
          <w:color w:val="auto"/>
          <w:sz w:val="32"/>
          <w:szCs w:val="32"/>
          <w:highlight w:val="none"/>
        </w:rPr>
        <w:t>。</w:t>
      </w:r>
    </w:p>
    <w:p>
      <w:pPr>
        <w:numPr>
          <w:ilvl w:val="0"/>
          <w:numId w:val="0"/>
        </w:numPr>
        <w:tabs>
          <w:tab w:val="left" w:pos="0"/>
        </w:tabs>
        <w:spacing w:line="560" w:lineRule="exact"/>
        <w:ind w:firstLine="640" w:firstLineChars="200"/>
        <w:jc w:val="left"/>
        <w:rPr>
          <w:rFonts w:hint="eastAsia" w:ascii="仿宋_GB2312" w:hAnsi="仿宋" w:eastAsia="仿宋_GB2312" w:cs="仿宋"/>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第十二条 </w:t>
      </w:r>
      <w:r>
        <w:rPr>
          <w:rFonts w:hint="eastAsia" w:ascii="仿宋_GB2312" w:hAnsi="仿宋" w:eastAsia="仿宋_GB2312" w:cs="仿宋"/>
          <w:color w:val="auto"/>
          <w:sz w:val="32"/>
          <w:szCs w:val="32"/>
          <w:highlight w:val="none"/>
        </w:rPr>
        <w:t>内部评标专家按其从事相关领域工作的资质水平和业务能力，分为专家和高级专家：</w:t>
      </w:r>
    </w:p>
    <w:p>
      <w:p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（一）专家</w:t>
      </w:r>
      <w:r>
        <w:rPr>
          <w:rFonts w:hint="eastAsia" w:ascii="仿宋_GB2312" w:hAnsi="仿宋" w:eastAsia="仿宋_GB2312" w:cs="仿宋"/>
          <w:color w:val="auto"/>
          <w:sz w:val="32"/>
          <w:szCs w:val="32"/>
          <w:highlight w:val="none"/>
          <w:lang w:val="en-US" w:eastAsia="zh-CN"/>
        </w:rPr>
        <w:t>为</w:t>
      </w:r>
      <w:r>
        <w:rPr>
          <w:rFonts w:hint="eastAsia" w:ascii="仿宋_GB2312" w:hAnsi="仿宋" w:eastAsia="仿宋_GB2312" w:cs="仿宋"/>
          <w:color w:val="auto"/>
          <w:sz w:val="32"/>
          <w:szCs w:val="32"/>
          <w:highlight w:val="none"/>
        </w:rPr>
        <w:t>从事相关领域工作满</w:t>
      </w:r>
      <w:r>
        <w:rPr>
          <w:rFonts w:hint="eastAsia" w:ascii="仿宋_GB2312" w:hAnsi="仿宋" w:eastAsia="仿宋_GB2312" w:cs="仿宋"/>
          <w:color w:val="auto"/>
          <w:sz w:val="32"/>
          <w:szCs w:val="32"/>
          <w:highlight w:val="none"/>
          <w:lang w:val="en-US" w:eastAsia="zh-CN"/>
        </w:rPr>
        <w:t>5</w:t>
      </w:r>
      <w:r>
        <w:rPr>
          <w:rFonts w:hint="eastAsia" w:ascii="仿宋_GB2312" w:hAnsi="仿宋" w:eastAsia="仿宋_GB2312" w:cs="仿宋"/>
          <w:color w:val="auto"/>
          <w:sz w:val="32"/>
          <w:szCs w:val="32"/>
          <w:highlight w:val="none"/>
        </w:rPr>
        <w:t>年、具有中级及以上</w:t>
      </w:r>
      <w:r>
        <w:rPr>
          <w:rFonts w:hint="eastAsia" w:ascii="仿宋_GB2312" w:hAnsi="仿宋" w:eastAsia="仿宋_GB2312" w:cs="仿宋_GB2312"/>
          <w:color w:val="auto"/>
          <w:sz w:val="32"/>
          <w:szCs w:val="32"/>
          <w:highlight w:val="none"/>
        </w:rPr>
        <w:t>专业技术任职资格</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高级技师</w:t>
      </w:r>
      <w:r>
        <w:rPr>
          <w:rFonts w:hint="eastAsia" w:ascii="仿宋_GB2312" w:hAnsi="仿宋" w:eastAsia="仿宋_GB2312" w:cs="仿宋"/>
          <w:color w:val="auto"/>
          <w:sz w:val="32"/>
          <w:szCs w:val="32"/>
          <w:highlight w:val="none"/>
          <w:lang w:eastAsia="zh-CN"/>
        </w:rPr>
        <w:t>（一级）或</w:t>
      </w:r>
      <w:r>
        <w:rPr>
          <w:rFonts w:hint="eastAsia" w:ascii="仿宋_GB2312" w:hAnsi="仿宋" w:eastAsia="仿宋_GB2312" w:cs="仿宋"/>
          <w:color w:val="auto"/>
          <w:sz w:val="32"/>
          <w:szCs w:val="32"/>
          <w:highlight w:val="none"/>
          <w:lang w:val="en-US" w:eastAsia="zh-CN"/>
        </w:rPr>
        <w:t>监理工程师、安全工程师、一级建造师、消防工程师、咨询工程师、一级造价师等</w:t>
      </w:r>
      <w:r>
        <w:rPr>
          <w:rFonts w:hint="eastAsia" w:ascii="仿宋_GB2312" w:hAnsi="仿宋" w:eastAsia="仿宋_GB2312" w:cs="仿宋"/>
          <w:color w:val="auto"/>
          <w:sz w:val="32"/>
          <w:szCs w:val="32"/>
          <w:highlight w:val="none"/>
        </w:rPr>
        <w:t>同等专业水平</w:t>
      </w:r>
      <w:r>
        <w:rPr>
          <w:rFonts w:hint="eastAsia" w:ascii="仿宋_GB2312" w:hAnsi="仿宋" w:eastAsia="仿宋_GB2312" w:cs="仿宋"/>
          <w:color w:val="auto"/>
          <w:sz w:val="32"/>
          <w:szCs w:val="32"/>
          <w:highlight w:val="none"/>
          <w:lang w:val="en-US" w:eastAsia="zh-CN"/>
        </w:rPr>
        <w:t>的职业或</w:t>
      </w:r>
      <w:r>
        <w:rPr>
          <w:rFonts w:hint="default" w:ascii="仿宋_GB2312" w:hAnsi="仿宋" w:eastAsia="仿宋_GB2312" w:cs="仿宋"/>
          <w:color w:val="auto"/>
          <w:sz w:val="32"/>
          <w:szCs w:val="32"/>
          <w:highlight w:val="none"/>
          <w:lang w:val="en-US"/>
        </w:rPr>
        <w:t>执业资格师</w:t>
      </w:r>
      <w:r>
        <w:rPr>
          <w:rFonts w:hint="eastAsia" w:ascii="仿宋_GB2312" w:hAnsi="仿宋" w:eastAsia="仿宋_GB2312" w:cs="仿宋"/>
          <w:color w:val="auto"/>
          <w:sz w:val="32"/>
          <w:szCs w:val="32"/>
          <w:highlight w:val="none"/>
          <w:lang w:eastAsia="zh-CN"/>
        </w:rPr>
        <w:t>（一级）</w:t>
      </w:r>
      <w:r>
        <w:rPr>
          <w:rFonts w:hint="eastAsia" w:ascii="仿宋_GB2312" w:hAnsi="仿宋" w:eastAsia="仿宋_GB2312" w:cs="仿宋"/>
          <w:color w:val="auto"/>
          <w:sz w:val="32"/>
          <w:szCs w:val="32"/>
          <w:highlight w:val="none"/>
        </w:rPr>
        <w:t>，具有解决专业难题能力</w:t>
      </w:r>
      <w:r>
        <w:rPr>
          <w:rFonts w:hint="eastAsia" w:ascii="仿宋_GB2312" w:hAnsi="仿宋" w:eastAsia="仿宋_GB2312" w:cs="仿宋"/>
          <w:color w:val="auto"/>
          <w:sz w:val="32"/>
          <w:szCs w:val="32"/>
          <w:highlight w:val="none"/>
          <w:lang w:eastAsia="zh-CN"/>
        </w:rPr>
        <w:t>的人员</w:t>
      </w:r>
      <w:r>
        <w:rPr>
          <w:rFonts w:hint="eastAsia" w:ascii="仿宋_GB2312" w:hAnsi="仿宋" w:eastAsia="仿宋_GB2312" w:cs="仿宋"/>
          <w:color w:val="auto"/>
          <w:sz w:val="32"/>
          <w:szCs w:val="32"/>
          <w:highlight w:val="none"/>
        </w:rPr>
        <w:t>；</w:t>
      </w:r>
    </w:p>
    <w:p>
      <w:pPr>
        <w:spacing w:line="560" w:lineRule="exact"/>
        <w:ind w:firstLine="640" w:firstLineChars="200"/>
        <w:rPr>
          <w:rFonts w:hint="eastAsia" w:ascii="仿宋_GB2312" w:hAnsi="仿宋" w:eastAsia="仿宋_GB2312" w:cs="仿宋_GB2312"/>
          <w:color w:val="auto"/>
          <w:sz w:val="32"/>
          <w:szCs w:val="32"/>
          <w:highlight w:val="none"/>
          <w:lang w:eastAsia="zh-CN"/>
        </w:rPr>
      </w:pPr>
      <w:r>
        <w:rPr>
          <w:rFonts w:hint="eastAsia" w:ascii="仿宋_GB2312" w:hAnsi="仿宋" w:eastAsia="仿宋_GB2312" w:cs="仿宋"/>
          <w:color w:val="auto"/>
          <w:sz w:val="32"/>
          <w:szCs w:val="32"/>
          <w:highlight w:val="none"/>
        </w:rPr>
        <w:t>（二）高级专家</w:t>
      </w:r>
      <w:r>
        <w:rPr>
          <w:rFonts w:hint="eastAsia" w:ascii="仿宋_GB2312" w:hAnsi="仿宋" w:eastAsia="仿宋_GB2312" w:cs="仿宋"/>
          <w:color w:val="auto"/>
          <w:sz w:val="32"/>
          <w:szCs w:val="32"/>
          <w:highlight w:val="none"/>
          <w:lang w:val="en-US" w:eastAsia="zh-CN"/>
        </w:rPr>
        <w:t>为</w:t>
      </w:r>
      <w:r>
        <w:rPr>
          <w:rFonts w:hint="eastAsia" w:ascii="仿宋_GB2312" w:hAnsi="仿宋" w:eastAsia="仿宋_GB2312" w:cs="仿宋"/>
          <w:color w:val="auto"/>
          <w:sz w:val="32"/>
          <w:szCs w:val="32"/>
          <w:highlight w:val="none"/>
        </w:rPr>
        <w:t>从事相关领</w:t>
      </w:r>
      <w:r>
        <w:rPr>
          <w:rFonts w:hint="eastAsia" w:ascii="仿宋_GB2312" w:hAnsi="仿宋" w:eastAsia="仿宋_GB2312" w:cs="仿宋_GB2312"/>
          <w:color w:val="auto"/>
          <w:sz w:val="32"/>
          <w:szCs w:val="32"/>
          <w:highlight w:val="none"/>
        </w:rPr>
        <w:t>域工作</w:t>
      </w:r>
      <w:r>
        <w:rPr>
          <w:rFonts w:hint="eastAsia" w:ascii="仿宋_GB2312" w:hAnsi="仿宋" w:eastAsia="仿宋_GB2312" w:cs="仿宋"/>
          <w:color w:val="auto"/>
          <w:sz w:val="32"/>
          <w:szCs w:val="32"/>
          <w:highlight w:val="none"/>
        </w:rPr>
        <w:t>满</w:t>
      </w:r>
      <w:r>
        <w:rPr>
          <w:rFonts w:hint="eastAsia" w:ascii="仿宋_GB2312" w:hAnsi="仿宋" w:eastAsia="仿宋_GB2312" w:cs="仿宋"/>
          <w:color w:val="auto"/>
          <w:sz w:val="32"/>
          <w:szCs w:val="32"/>
          <w:highlight w:val="none"/>
          <w:lang w:val="en-US" w:eastAsia="zh-CN"/>
        </w:rPr>
        <w:t>8</w:t>
      </w:r>
      <w:r>
        <w:rPr>
          <w:rFonts w:hint="eastAsia" w:ascii="仿宋_GB2312" w:hAnsi="仿宋" w:eastAsia="仿宋_GB2312" w:cs="仿宋"/>
          <w:color w:val="auto"/>
          <w:sz w:val="32"/>
          <w:szCs w:val="32"/>
          <w:highlight w:val="none"/>
        </w:rPr>
        <w:t>年、具有高</w:t>
      </w:r>
      <w:r>
        <w:rPr>
          <w:rFonts w:hint="eastAsia" w:ascii="仿宋_GB2312" w:hAnsi="仿宋" w:eastAsia="仿宋_GB2312" w:cs="仿宋_GB2312"/>
          <w:color w:val="auto"/>
          <w:sz w:val="32"/>
          <w:szCs w:val="32"/>
          <w:highlight w:val="none"/>
        </w:rPr>
        <w:t>级专业技术任职资格</w:t>
      </w:r>
      <w:r>
        <w:rPr>
          <w:rFonts w:hint="eastAsia" w:ascii="仿宋_GB2312" w:hAnsi="仿宋" w:eastAsia="仿宋_GB2312" w:cs="仿宋_GB2312"/>
          <w:color w:val="auto"/>
          <w:sz w:val="32"/>
          <w:szCs w:val="32"/>
          <w:highlight w:val="none"/>
          <w:lang w:val="en-US" w:eastAsia="zh-CN"/>
        </w:rPr>
        <w:t>或同等专业水平</w:t>
      </w:r>
      <w:r>
        <w:rPr>
          <w:rFonts w:hint="eastAsia" w:ascii="仿宋_GB2312" w:hAnsi="仿宋" w:eastAsia="仿宋_GB2312" w:cs="仿宋_GB2312"/>
          <w:color w:val="auto"/>
          <w:sz w:val="32"/>
          <w:szCs w:val="32"/>
          <w:highlight w:val="none"/>
        </w:rPr>
        <w:t>，</w:t>
      </w:r>
      <w:r>
        <w:rPr>
          <w:rFonts w:hint="eastAsia" w:ascii="仿宋_GB2312" w:hAnsi="仿宋" w:eastAsia="仿宋_GB2312" w:cs="仿宋_GB2312"/>
          <w:color w:val="auto"/>
          <w:spacing w:val="-8"/>
          <w:sz w:val="32"/>
          <w:szCs w:val="32"/>
          <w:highlight w:val="none"/>
        </w:rPr>
        <w:t>具有解决特殊专业难题能力</w:t>
      </w:r>
      <w:r>
        <w:rPr>
          <w:rFonts w:hint="eastAsia" w:ascii="仿宋_GB2312" w:hAnsi="仿宋" w:eastAsia="仿宋_GB2312" w:cs="仿宋_GB2312"/>
          <w:b w:val="0"/>
          <w:bCs w:val="0"/>
          <w:color w:val="auto"/>
          <w:spacing w:val="-8"/>
          <w:sz w:val="32"/>
          <w:szCs w:val="32"/>
          <w:highlight w:val="none"/>
        </w:rPr>
        <w:t>的</w:t>
      </w:r>
      <w:r>
        <w:rPr>
          <w:rFonts w:hint="eastAsia" w:ascii="仿宋_GB2312" w:hAnsi="仿宋" w:eastAsia="仿宋_GB2312" w:cs="仿宋_GB2312"/>
          <w:color w:val="auto"/>
          <w:spacing w:val="-8"/>
          <w:sz w:val="32"/>
          <w:szCs w:val="32"/>
          <w:highlight w:val="none"/>
          <w:lang w:eastAsia="zh-CN"/>
        </w:rPr>
        <w:t>人员。</w:t>
      </w:r>
    </w:p>
    <w:p>
      <w:pPr>
        <w:numPr>
          <w:ilvl w:val="0"/>
          <w:numId w:val="0"/>
        </w:numPr>
        <w:tabs>
          <w:tab w:val="left" w:pos="0"/>
        </w:tabs>
        <w:spacing w:line="560" w:lineRule="exact"/>
        <w:ind w:firstLine="640" w:firstLineChars="200"/>
        <w:jc w:val="left"/>
        <w:rPr>
          <w:rFonts w:ascii="仿宋_GB2312" w:hAnsi="仿宋" w:eastAsia="仿宋_GB2312" w:cs="Times New Roman"/>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第十三条 </w:t>
      </w:r>
      <w:r>
        <w:rPr>
          <w:rFonts w:hint="eastAsia" w:ascii="仿宋_GB2312" w:hAnsi="仿宋" w:eastAsia="仿宋_GB2312" w:cs="仿宋_GB2312"/>
          <w:color w:val="auto"/>
          <w:sz w:val="32"/>
          <w:szCs w:val="32"/>
          <w:highlight w:val="none"/>
        </w:rPr>
        <w:t>外部评标专家</w:t>
      </w:r>
      <w:r>
        <w:rPr>
          <w:rFonts w:hint="eastAsia" w:ascii="仿宋_GB2312" w:hAnsi="仿宋" w:eastAsia="仿宋_GB2312" w:cs="仿宋_GB2312"/>
          <w:color w:val="auto"/>
          <w:sz w:val="32"/>
          <w:szCs w:val="32"/>
          <w:highlight w:val="none"/>
          <w:lang w:val="en-US" w:eastAsia="zh-CN"/>
        </w:rPr>
        <w:t>为</w:t>
      </w:r>
      <w:r>
        <w:rPr>
          <w:rFonts w:hint="eastAsia" w:ascii="仿宋_GB2312" w:hAnsi="仿宋" w:eastAsia="仿宋_GB2312" w:cs="仿宋_GB2312"/>
          <w:color w:val="auto"/>
          <w:sz w:val="32"/>
          <w:szCs w:val="32"/>
          <w:highlight w:val="none"/>
        </w:rPr>
        <w:t>从事相关领域工作满</w:t>
      </w:r>
      <w:r>
        <w:rPr>
          <w:rFonts w:hint="eastAsia" w:ascii="仿宋_GB2312" w:hAnsi="仿宋" w:eastAsia="仿宋_GB2312" w:cs="仿宋_GB2312"/>
          <w:color w:val="auto"/>
          <w:sz w:val="32"/>
          <w:szCs w:val="32"/>
          <w:highlight w:val="none"/>
          <w:lang w:val="en-US" w:eastAsia="zh-CN"/>
        </w:rPr>
        <w:t>8</w:t>
      </w:r>
      <w:r>
        <w:rPr>
          <w:rFonts w:hint="eastAsia" w:ascii="仿宋_GB2312" w:hAnsi="仿宋" w:eastAsia="仿宋_GB2312" w:cs="仿宋_GB2312"/>
          <w:color w:val="auto"/>
          <w:sz w:val="32"/>
          <w:szCs w:val="32"/>
          <w:highlight w:val="none"/>
        </w:rPr>
        <w:t>年</w:t>
      </w:r>
      <w:r>
        <w:rPr>
          <w:rFonts w:hint="eastAsia" w:ascii="仿宋_GB2312" w:hAnsi="仿宋" w:eastAsia="仿宋_GB2312" w:cs="仿宋_GB2312"/>
          <w:color w:val="auto"/>
          <w:sz w:val="32"/>
          <w:szCs w:val="32"/>
          <w:highlight w:val="none"/>
          <w:lang w:val="en-US" w:eastAsia="zh-CN"/>
        </w:rPr>
        <w:t>、</w:t>
      </w:r>
      <w:r>
        <w:rPr>
          <w:rFonts w:hint="eastAsia" w:ascii="仿宋_GB2312" w:hAnsi="仿宋" w:eastAsia="仿宋_GB2312" w:cs="仿宋_GB2312"/>
          <w:color w:val="auto"/>
          <w:sz w:val="32"/>
          <w:szCs w:val="32"/>
          <w:highlight w:val="none"/>
        </w:rPr>
        <w:t>具有高级专业技术任职资格</w:t>
      </w:r>
      <w:r>
        <w:rPr>
          <w:rFonts w:hint="eastAsia" w:ascii="仿宋_GB2312" w:hAnsi="仿宋" w:eastAsia="仿宋_GB2312" w:cs="仿宋_GB2312"/>
          <w:color w:val="auto"/>
          <w:spacing w:val="-8"/>
          <w:sz w:val="32"/>
          <w:szCs w:val="32"/>
          <w:highlight w:val="none"/>
          <w:lang w:val="en-US" w:eastAsia="zh-CN"/>
        </w:rPr>
        <w:t>或者</w:t>
      </w:r>
      <w:r>
        <w:rPr>
          <w:rFonts w:hint="eastAsia" w:ascii="仿宋_GB2312" w:hAnsi="仿宋" w:eastAsia="仿宋_GB2312" w:cs="仿宋_GB2312"/>
          <w:color w:val="auto"/>
          <w:spacing w:val="-8"/>
          <w:sz w:val="32"/>
          <w:szCs w:val="32"/>
          <w:highlight w:val="none"/>
        </w:rPr>
        <w:t>同等专业水平，具有解决专业难题能力的</w:t>
      </w:r>
      <w:r>
        <w:rPr>
          <w:rFonts w:hint="eastAsia" w:ascii="仿宋_GB2312" w:hAnsi="仿宋" w:eastAsia="仿宋_GB2312" w:cs="仿宋_GB2312"/>
          <w:color w:val="auto"/>
          <w:spacing w:val="-8"/>
          <w:sz w:val="32"/>
          <w:szCs w:val="32"/>
          <w:highlight w:val="none"/>
          <w:lang w:eastAsia="zh-CN"/>
        </w:rPr>
        <w:t>人员</w:t>
      </w:r>
      <w:r>
        <w:rPr>
          <w:rFonts w:hint="eastAsia" w:ascii="仿宋_GB2312" w:hAnsi="仿宋" w:eastAsia="仿宋_GB2312" w:cs="仿宋_GB2312"/>
          <w:color w:val="auto"/>
          <w:spacing w:val="-8"/>
          <w:sz w:val="32"/>
          <w:szCs w:val="32"/>
          <w:highlight w:val="none"/>
        </w:rPr>
        <w:t>。</w:t>
      </w:r>
    </w:p>
    <w:p>
      <w:pPr>
        <w:numPr>
          <w:ilvl w:val="0"/>
          <w:numId w:val="0"/>
        </w:numPr>
        <w:tabs>
          <w:tab w:val="left" w:pos="0"/>
        </w:tabs>
        <w:spacing w:line="560" w:lineRule="exact"/>
        <w:ind w:firstLine="640" w:firstLineChars="200"/>
        <w:jc w:val="left"/>
        <w:rPr>
          <w:rFonts w:ascii="仿宋_GB2312" w:hAnsi="仿宋" w:eastAsia="仿宋_GB2312" w:cs="Times New Roman"/>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第十五条 </w:t>
      </w:r>
      <w:r>
        <w:rPr>
          <w:rFonts w:hint="eastAsia" w:ascii="仿宋_GB2312" w:hAnsi="仿宋_GB2312" w:eastAsia="仿宋_GB2312" w:cs="仿宋_GB2312"/>
          <w:sz w:val="32"/>
          <w:szCs w:val="32"/>
          <w:highlight w:val="none"/>
        </w:rPr>
        <w:t>评标专家应当具备下列条件</w:t>
      </w:r>
      <w:r>
        <w:rPr>
          <w:rFonts w:hint="eastAsia" w:ascii="仿宋_GB2312" w:hAnsi="仿宋" w:eastAsia="仿宋_GB2312" w:cs="仿宋"/>
          <w:color w:val="auto"/>
          <w:sz w:val="32"/>
          <w:szCs w:val="32"/>
          <w:highlight w:val="none"/>
        </w:rPr>
        <w:t>：</w:t>
      </w:r>
    </w:p>
    <w:p>
      <w:p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一</w:t>
      </w:r>
      <w:r>
        <w:rPr>
          <w:rFonts w:hint="eastAsia" w:ascii="仿宋_GB2312" w:hAnsi="仿宋" w:eastAsia="仿宋_GB2312" w:cs="仿宋"/>
          <w:color w:val="auto"/>
          <w:sz w:val="32"/>
          <w:szCs w:val="32"/>
          <w:highlight w:val="none"/>
        </w:rPr>
        <w:t>）思想端正，作风正派，坚持原则，处事公正</w:t>
      </w:r>
      <w:r>
        <w:rPr>
          <w:rFonts w:hint="eastAsia" w:ascii="仿宋_GB2312" w:hAnsi="仿宋" w:eastAsia="仿宋_GB2312" w:cs="仿宋"/>
          <w:color w:val="auto"/>
          <w:sz w:val="32"/>
          <w:szCs w:val="32"/>
          <w:highlight w:val="none"/>
          <w:lang w:val="en-US" w:eastAsia="zh-CN"/>
        </w:rPr>
        <w:t>，</w:t>
      </w:r>
      <w:r>
        <w:rPr>
          <w:rFonts w:hint="eastAsia" w:ascii="仿宋_GB2312" w:hAnsi="仿宋" w:eastAsia="仿宋_GB2312" w:cs="仿宋"/>
          <w:color w:val="auto"/>
          <w:sz w:val="32"/>
          <w:szCs w:val="32"/>
          <w:highlight w:val="none"/>
        </w:rPr>
        <w:t>具备良好的职业道德；</w:t>
      </w:r>
    </w:p>
    <w:p>
      <w:pPr>
        <w:spacing w:line="560" w:lineRule="exact"/>
        <w:ind w:firstLine="640" w:firstLineChars="200"/>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（二）具有相应专业技术或经济管理水平、资质和能力；</w:t>
      </w:r>
    </w:p>
    <w:p>
      <w:pPr>
        <w:spacing w:line="560" w:lineRule="exact"/>
        <w:ind w:firstLine="640" w:firstLineChars="200"/>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三）熟悉国家招标投标的相关法律法规、鞍钢集团有关规定及鞍钢招标管理制度；</w:t>
      </w:r>
    </w:p>
    <w:p>
      <w:pPr>
        <w:spacing w:line="560" w:lineRule="exact"/>
        <w:ind w:firstLine="640" w:firstLineChars="200"/>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（四）具备参加评标工作所需要的，与招标采购项目相关的专业知识和实践经验；</w:t>
      </w:r>
    </w:p>
    <w:p>
      <w:p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五</w:t>
      </w:r>
      <w:r>
        <w:rPr>
          <w:rFonts w:hint="eastAsia" w:ascii="仿宋_GB2312" w:hAnsi="仿宋" w:eastAsia="仿宋_GB2312" w:cs="仿宋"/>
          <w:color w:val="auto"/>
          <w:sz w:val="32"/>
          <w:szCs w:val="32"/>
          <w:highlight w:val="none"/>
        </w:rPr>
        <w:t>）遵守国家相关法规政策，执行鞍钢集团有关制度规定，维护鞍钢集团整体利益；</w:t>
      </w:r>
    </w:p>
    <w:p>
      <w:pPr>
        <w:spacing w:line="560" w:lineRule="exact"/>
        <w:ind w:firstLine="640" w:firstLineChars="200"/>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（六）熟练掌握电子化评标技能；</w:t>
      </w:r>
    </w:p>
    <w:p>
      <w:p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lang w:val="en-US" w:eastAsia="zh-CN"/>
        </w:rPr>
        <w:t>（七）65周岁及以下，</w:t>
      </w:r>
      <w:r>
        <w:rPr>
          <w:rFonts w:hint="eastAsia" w:ascii="仿宋_GB2312" w:hAnsi="仿宋" w:eastAsia="仿宋_GB2312" w:cs="仿宋"/>
          <w:color w:val="auto"/>
          <w:sz w:val="32"/>
          <w:szCs w:val="32"/>
          <w:highlight w:val="none"/>
        </w:rPr>
        <w:t>身体健康，</w:t>
      </w:r>
      <w:r>
        <w:rPr>
          <w:rFonts w:hint="eastAsia" w:ascii="仿宋_GB2312" w:hAnsi="仿宋" w:eastAsia="仿宋_GB2312" w:cs="仿宋"/>
          <w:color w:val="auto"/>
          <w:sz w:val="32"/>
          <w:szCs w:val="32"/>
          <w:highlight w:val="none"/>
          <w:lang w:val="en-US" w:eastAsia="zh-CN"/>
        </w:rPr>
        <w:t>具备正常履行职责的身体条件；</w:t>
      </w:r>
    </w:p>
    <w:p>
      <w:pPr>
        <w:spacing w:line="560" w:lineRule="exact"/>
        <w:ind w:firstLine="640" w:firstLineChars="200"/>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lang w:val="en-US" w:eastAsia="zh-CN"/>
        </w:rPr>
        <w:t>（八）法律、法规、规章、制度规定的其他条件</w:t>
      </w:r>
      <w:r>
        <w:rPr>
          <w:rFonts w:hint="eastAsia" w:ascii="仿宋_GB2312" w:hAnsi="仿宋" w:eastAsia="仿宋_GB2312" w:cs="仿宋"/>
          <w:color w:val="auto"/>
          <w:sz w:val="32"/>
          <w:szCs w:val="32"/>
          <w:highlight w:val="none"/>
          <w:lang w:eastAsia="zh-CN"/>
        </w:rPr>
        <w:t>。</w:t>
      </w:r>
    </w:p>
    <w:p>
      <w:pPr>
        <w:numPr>
          <w:ilvl w:val="0"/>
          <w:numId w:val="0"/>
        </w:numPr>
        <w:tabs>
          <w:tab w:val="left" w:pos="0"/>
        </w:tabs>
        <w:spacing w:line="560" w:lineRule="exact"/>
        <w:ind w:firstLine="640" w:firstLineChars="200"/>
        <w:jc w:val="left"/>
        <w:rPr>
          <w:rFonts w:ascii="仿宋_GB2312" w:hAnsi="仿宋" w:eastAsia="仿宋_GB2312" w:cs="Times New Roman"/>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第十六条 </w:t>
      </w:r>
      <w:r>
        <w:rPr>
          <w:rFonts w:hint="eastAsia" w:ascii="仿宋_GB2312" w:hAnsi="仿宋" w:eastAsia="仿宋_GB2312" w:cs="仿宋"/>
          <w:color w:val="auto"/>
          <w:sz w:val="32"/>
          <w:szCs w:val="32"/>
          <w:highlight w:val="none"/>
        </w:rPr>
        <w:t>评标专家</w:t>
      </w:r>
      <w:r>
        <w:rPr>
          <w:rFonts w:hint="eastAsia" w:ascii="仿宋_GB2312" w:hAnsi="仿宋" w:eastAsia="仿宋_GB2312" w:cs="仿宋"/>
          <w:color w:val="auto"/>
          <w:sz w:val="32"/>
          <w:szCs w:val="32"/>
          <w:highlight w:val="none"/>
          <w:lang w:val="en-US" w:eastAsia="zh-CN"/>
        </w:rPr>
        <w:t>享有下列</w:t>
      </w:r>
      <w:r>
        <w:rPr>
          <w:rFonts w:hint="eastAsia" w:ascii="仿宋_GB2312" w:hAnsi="仿宋" w:eastAsia="仿宋_GB2312" w:cs="仿宋"/>
          <w:color w:val="auto"/>
          <w:sz w:val="32"/>
          <w:szCs w:val="32"/>
          <w:highlight w:val="none"/>
        </w:rPr>
        <w:t>权利</w:t>
      </w:r>
    </w:p>
    <w:p>
      <w:pPr>
        <w:spacing w:line="560" w:lineRule="exact"/>
        <w:ind w:firstLine="640" w:firstLineChars="200"/>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rPr>
        <w:t>（一）接受</w:t>
      </w:r>
      <w:r>
        <w:rPr>
          <w:rFonts w:hint="eastAsia" w:ascii="仿宋_GB2312" w:hAnsi="仿宋" w:eastAsia="仿宋_GB2312" w:cs="仿宋"/>
          <w:color w:val="auto"/>
          <w:sz w:val="32"/>
          <w:szCs w:val="32"/>
          <w:highlight w:val="none"/>
          <w:lang w:eastAsia="zh-CN"/>
        </w:rPr>
        <w:t>鞍钢招标</w:t>
      </w:r>
      <w:r>
        <w:rPr>
          <w:rFonts w:hint="eastAsia" w:ascii="仿宋_GB2312" w:hAnsi="仿宋" w:eastAsia="仿宋_GB2312" w:cs="仿宋"/>
          <w:color w:val="auto"/>
          <w:sz w:val="32"/>
          <w:szCs w:val="32"/>
          <w:highlight w:val="none"/>
        </w:rPr>
        <w:t>邀请，担任评标/评审委员会成员；</w:t>
      </w:r>
    </w:p>
    <w:p>
      <w:pPr>
        <w:spacing w:line="560" w:lineRule="exact"/>
        <w:ind w:firstLine="640" w:firstLineChars="200"/>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rPr>
        <w:t>（二）依法</w:t>
      </w:r>
      <w:r>
        <w:rPr>
          <w:rFonts w:hint="eastAsia" w:ascii="仿宋_GB2312" w:hAnsi="仿宋" w:eastAsia="仿宋_GB2312" w:cs="仿宋"/>
          <w:color w:val="auto"/>
          <w:sz w:val="32"/>
          <w:szCs w:val="32"/>
          <w:highlight w:val="none"/>
          <w:lang w:val="en-US" w:eastAsia="zh-CN"/>
        </w:rPr>
        <w:t>依规</w:t>
      </w:r>
      <w:r>
        <w:rPr>
          <w:rFonts w:hint="eastAsia" w:ascii="仿宋_GB2312" w:hAnsi="仿宋" w:eastAsia="仿宋_GB2312" w:cs="仿宋"/>
          <w:color w:val="auto"/>
          <w:sz w:val="32"/>
          <w:szCs w:val="32"/>
          <w:highlight w:val="none"/>
        </w:rPr>
        <w:t>对投标文件进行独立评审，提出评审意见，不受任何单位或者个人的干预；</w:t>
      </w:r>
    </w:p>
    <w:p>
      <w:pPr>
        <w:spacing w:line="560" w:lineRule="exact"/>
        <w:ind w:firstLine="640" w:firstLineChars="200"/>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rPr>
        <w:t>（三）接受参加评标</w:t>
      </w:r>
      <w:r>
        <w:rPr>
          <w:rFonts w:hint="eastAsia" w:ascii="仿宋_GB2312" w:hAnsi="仿宋" w:eastAsia="仿宋_GB2312" w:cs="仿宋"/>
          <w:color w:val="auto"/>
          <w:sz w:val="32"/>
          <w:szCs w:val="32"/>
          <w:highlight w:val="none"/>
          <w:lang w:val="en-US" w:eastAsia="zh-CN"/>
        </w:rPr>
        <w:t>/评审</w:t>
      </w:r>
      <w:r>
        <w:rPr>
          <w:rFonts w:hint="eastAsia" w:ascii="仿宋_GB2312" w:hAnsi="仿宋" w:eastAsia="仿宋_GB2312" w:cs="仿宋"/>
          <w:color w:val="auto"/>
          <w:sz w:val="32"/>
          <w:szCs w:val="32"/>
          <w:highlight w:val="none"/>
        </w:rPr>
        <w:t>活动的劳务报酬；</w:t>
      </w:r>
    </w:p>
    <w:p>
      <w:pPr>
        <w:spacing w:line="560" w:lineRule="exact"/>
        <w:ind w:firstLine="640" w:firstLineChars="200"/>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四</w:t>
      </w:r>
      <w:r>
        <w:rPr>
          <w:rFonts w:hint="eastAsia" w:ascii="仿宋_GB2312" w:hAnsi="仿宋" w:eastAsia="仿宋_GB2312" w:cs="仿宋"/>
          <w:color w:val="auto"/>
          <w:sz w:val="32"/>
          <w:szCs w:val="32"/>
          <w:highlight w:val="none"/>
        </w:rPr>
        <w:t>）法律</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法规</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规章</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制度</w:t>
      </w:r>
      <w:r>
        <w:rPr>
          <w:rFonts w:hint="eastAsia" w:ascii="仿宋_GB2312" w:hAnsi="仿宋" w:eastAsia="仿宋_GB2312" w:cs="仿宋"/>
          <w:color w:val="auto"/>
          <w:sz w:val="32"/>
          <w:szCs w:val="32"/>
          <w:highlight w:val="none"/>
        </w:rPr>
        <w:t>规定的其他权利。</w:t>
      </w:r>
    </w:p>
    <w:p>
      <w:pPr>
        <w:numPr>
          <w:ilvl w:val="0"/>
          <w:numId w:val="0"/>
        </w:numPr>
        <w:tabs>
          <w:tab w:val="left" w:pos="0"/>
        </w:tabs>
        <w:spacing w:line="560" w:lineRule="exact"/>
        <w:ind w:firstLine="640" w:firstLineChars="200"/>
        <w:jc w:val="left"/>
        <w:rPr>
          <w:rFonts w:ascii="仿宋_GB2312" w:hAnsi="仿宋" w:eastAsia="仿宋_GB2312" w:cs="Times New Roman"/>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第十七条 </w:t>
      </w:r>
      <w:r>
        <w:rPr>
          <w:rFonts w:hint="eastAsia" w:ascii="仿宋_GB2312" w:hAnsi="仿宋" w:eastAsia="仿宋_GB2312" w:cs="仿宋"/>
          <w:color w:val="auto"/>
          <w:sz w:val="32"/>
          <w:szCs w:val="32"/>
          <w:highlight w:val="none"/>
        </w:rPr>
        <w:t>评标专家</w:t>
      </w:r>
      <w:r>
        <w:rPr>
          <w:rFonts w:hint="eastAsia" w:ascii="仿宋_GB2312" w:hAnsi="仿宋" w:eastAsia="仿宋_GB2312" w:cs="仿宋"/>
          <w:color w:val="auto"/>
          <w:sz w:val="32"/>
          <w:szCs w:val="32"/>
          <w:highlight w:val="none"/>
          <w:lang w:val="en-US" w:eastAsia="zh-CN"/>
        </w:rPr>
        <w:t>承担下列</w:t>
      </w:r>
      <w:r>
        <w:rPr>
          <w:rFonts w:hint="eastAsia" w:ascii="仿宋_GB2312" w:hAnsi="仿宋" w:eastAsia="仿宋_GB2312" w:cs="仿宋"/>
          <w:color w:val="auto"/>
          <w:sz w:val="32"/>
          <w:szCs w:val="32"/>
          <w:highlight w:val="none"/>
        </w:rPr>
        <w:t>义务</w:t>
      </w:r>
    </w:p>
    <w:p>
      <w:pPr>
        <w:spacing w:line="560" w:lineRule="exact"/>
        <w:ind w:firstLine="640" w:firstLineChars="200"/>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rPr>
        <w:t>（一）贯彻执行国家招标投标有关法律</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法规</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规章</w:t>
      </w:r>
      <w:r>
        <w:rPr>
          <w:rFonts w:hint="eastAsia" w:ascii="仿宋_GB2312" w:hAnsi="仿宋" w:eastAsia="仿宋_GB2312" w:cs="仿宋"/>
          <w:color w:val="auto"/>
          <w:sz w:val="32"/>
          <w:szCs w:val="32"/>
          <w:highlight w:val="none"/>
        </w:rPr>
        <w:t>和鞍钢集团、</w:t>
      </w:r>
      <w:r>
        <w:rPr>
          <w:rFonts w:hint="eastAsia" w:ascii="仿宋_GB2312" w:hAnsi="仿宋" w:eastAsia="仿宋_GB2312" w:cs="仿宋"/>
          <w:color w:val="auto"/>
          <w:sz w:val="32"/>
          <w:szCs w:val="32"/>
          <w:highlight w:val="none"/>
          <w:lang w:eastAsia="zh-CN"/>
        </w:rPr>
        <w:t>鞍钢招标</w:t>
      </w:r>
      <w:r>
        <w:rPr>
          <w:rFonts w:hint="eastAsia" w:ascii="仿宋_GB2312" w:hAnsi="仿宋" w:eastAsia="仿宋_GB2312" w:cs="仿宋"/>
          <w:color w:val="auto"/>
          <w:sz w:val="32"/>
          <w:szCs w:val="32"/>
          <w:highlight w:val="none"/>
        </w:rPr>
        <w:t>相关规定，遵循公平、公正、</w:t>
      </w:r>
      <w:r>
        <w:rPr>
          <w:rFonts w:hint="eastAsia" w:ascii="仿宋_GB2312" w:hAnsi="仿宋" w:eastAsia="仿宋_GB2312" w:cs="仿宋"/>
          <w:color w:val="auto"/>
          <w:sz w:val="32"/>
          <w:szCs w:val="32"/>
          <w:highlight w:val="none"/>
          <w:lang w:val="en-US" w:eastAsia="zh-CN"/>
        </w:rPr>
        <w:t>严谨、</w:t>
      </w:r>
      <w:r>
        <w:rPr>
          <w:rFonts w:hint="eastAsia" w:ascii="仿宋_GB2312" w:hAnsi="仿宋" w:eastAsia="仿宋_GB2312" w:cs="仿宋"/>
          <w:color w:val="auto"/>
          <w:sz w:val="32"/>
          <w:szCs w:val="32"/>
          <w:highlight w:val="none"/>
        </w:rPr>
        <w:t>诚信原则，</w:t>
      </w:r>
      <w:r>
        <w:rPr>
          <w:rFonts w:hint="eastAsia" w:ascii="仿宋_GB2312" w:hAnsi="仿宋" w:eastAsia="仿宋_GB2312" w:cs="仿宋"/>
          <w:color w:val="auto"/>
          <w:sz w:val="32"/>
          <w:szCs w:val="32"/>
          <w:highlight w:val="none"/>
          <w:lang w:val="en-US" w:eastAsia="zh-CN"/>
        </w:rPr>
        <w:t>恪尽职守、履职尽责</w:t>
      </w:r>
      <w:r>
        <w:rPr>
          <w:rFonts w:hint="eastAsia" w:ascii="仿宋_GB2312" w:hAnsi="仿宋" w:eastAsia="仿宋_GB2312" w:cs="仿宋"/>
          <w:color w:val="auto"/>
          <w:sz w:val="32"/>
          <w:szCs w:val="32"/>
          <w:highlight w:val="none"/>
        </w:rPr>
        <w:t>；</w:t>
      </w:r>
    </w:p>
    <w:p>
      <w:pPr>
        <w:spacing w:line="560" w:lineRule="exact"/>
        <w:ind w:firstLine="640" w:firstLineChars="200"/>
        <w:rPr>
          <w:rFonts w:hint="default"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rPr>
        <w:t>（二）</w:t>
      </w:r>
      <w:r>
        <w:rPr>
          <w:rFonts w:hint="eastAsia" w:ascii="仿宋_GB2312" w:hAnsi="仿宋" w:eastAsia="仿宋_GB2312" w:cs="仿宋"/>
          <w:color w:val="auto"/>
          <w:sz w:val="32"/>
          <w:szCs w:val="32"/>
          <w:highlight w:val="none"/>
          <w:lang w:val="en-US" w:eastAsia="zh-CN"/>
        </w:rPr>
        <w:t>如实填报并及时更新个人基本信息，配合鞍钢招标的管理工作；</w:t>
      </w:r>
    </w:p>
    <w:p>
      <w:pPr>
        <w:spacing w:line="560" w:lineRule="exact"/>
        <w:ind w:firstLine="640" w:firstLineChars="200"/>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三</w:t>
      </w:r>
      <w:r>
        <w:rPr>
          <w:rFonts w:hint="eastAsia" w:ascii="仿宋_GB2312" w:hAnsi="仿宋" w:eastAsia="仿宋_GB2312" w:cs="仿宋"/>
          <w:color w:val="auto"/>
          <w:sz w:val="32"/>
          <w:szCs w:val="32"/>
          <w:highlight w:val="none"/>
          <w:lang w:eastAsia="zh-CN"/>
        </w:rPr>
        <w:t>）存在法定回避情形的，主动提出回避；</w:t>
      </w:r>
    </w:p>
    <w:p>
      <w:pPr>
        <w:spacing w:line="560" w:lineRule="exact"/>
        <w:ind w:firstLine="640" w:firstLineChars="200"/>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四</w:t>
      </w:r>
      <w:r>
        <w:rPr>
          <w:rFonts w:hint="eastAsia" w:ascii="仿宋_GB2312" w:hAnsi="仿宋" w:eastAsia="仿宋_GB2312" w:cs="仿宋"/>
          <w:color w:val="auto"/>
          <w:sz w:val="32"/>
          <w:szCs w:val="32"/>
          <w:highlight w:val="none"/>
        </w:rPr>
        <w:t>）遵守评标工作纪律，</w:t>
      </w:r>
      <w:r>
        <w:rPr>
          <w:rFonts w:hint="eastAsia" w:ascii="仿宋_GB2312" w:eastAsia="仿宋_GB2312"/>
          <w:sz w:val="32"/>
          <w:szCs w:val="32"/>
          <w:highlight w:val="none"/>
        </w:rPr>
        <w:t>不得与任何投标人或者与</w:t>
      </w:r>
      <w:r>
        <w:rPr>
          <w:rFonts w:hint="eastAsia" w:ascii="仿宋_GB2312" w:eastAsia="仿宋_GB2312"/>
          <w:sz w:val="32"/>
          <w:szCs w:val="32"/>
          <w:highlight w:val="none"/>
          <w:lang w:val="en-US" w:eastAsia="zh-CN"/>
        </w:rPr>
        <w:t>评审</w:t>
      </w:r>
      <w:r>
        <w:rPr>
          <w:rFonts w:hint="eastAsia" w:ascii="仿宋_GB2312" w:eastAsia="仿宋_GB2312"/>
          <w:sz w:val="32"/>
          <w:szCs w:val="32"/>
          <w:highlight w:val="none"/>
        </w:rPr>
        <w:t>结果有利害关系的人进行私下接触</w:t>
      </w:r>
      <w:r>
        <w:rPr>
          <w:rFonts w:hint="eastAsia" w:ascii="仿宋_GB2312" w:hAnsi="仿宋" w:eastAsia="仿宋_GB2312" w:cs="仿宋"/>
          <w:color w:val="auto"/>
          <w:sz w:val="32"/>
          <w:szCs w:val="32"/>
          <w:highlight w:val="none"/>
        </w:rPr>
        <w:t>，</w:t>
      </w:r>
      <w:r>
        <w:rPr>
          <w:rFonts w:hint="eastAsia" w:ascii="仿宋_GB2312" w:eastAsia="仿宋_GB2312"/>
          <w:sz w:val="32"/>
          <w:szCs w:val="32"/>
          <w:highlight w:val="none"/>
        </w:rPr>
        <w:t>不得收受投标人</w:t>
      </w:r>
      <w:r>
        <w:rPr>
          <w:rFonts w:hint="eastAsia" w:ascii="仿宋_GB2312" w:eastAsia="仿宋_GB2312"/>
          <w:sz w:val="32"/>
          <w:szCs w:val="32"/>
          <w:highlight w:val="none"/>
          <w:lang w:val="en-US" w:eastAsia="zh-CN"/>
        </w:rPr>
        <w:t>或</w:t>
      </w:r>
      <w:r>
        <w:rPr>
          <w:rFonts w:hint="eastAsia" w:ascii="仿宋_GB2312" w:eastAsia="仿宋_GB2312"/>
          <w:sz w:val="32"/>
          <w:szCs w:val="32"/>
          <w:highlight w:val="none"/>
        </w:rPr>
        <w:t>其他利害关系人的财物或者其他好处</w:t>
      </w:r>
      <w:r>
        <w:rPr>
          <w:rFonts w:hint="eastAsia" w:ascii="仿宋_GB2312" w:hAnsi="仿宋" w:eastAsia="仿宋_GB2312" w:cs="仿宋"/>
          <w:color w:val="auto"/>
          <w:sz w:val="32"/>
          <w:szCs w:val="32"/>
          <w:highlight w:val="none"/>
          <w:lang w:eastAsia="zh-CN"/>
        </w:rPr>
        <w:t>；</w:t>
      </w:r>
      <w:r>
        <w:rPr>
          <w:rFonts w:hint="eastAsia" w:ascii="仿宋_GB2312" w:eastAsia="仿宋_GB2312"/>
          <w:sz w:val="32"/>
          <w:szCs w:val="32"/>
          <w:highlight w:val="none"/>
        </w:rPr>
        <w:t>不得向招标</w:t>
      </w:r>
      <w:r>
        <w:rPr>
          <w:rFonts w:hint="eastAsia" w:ascii="仿宋_GB2312" w:eastAsia="仿宋_GB2312"/>
          <w:sz w:val="32"/>
          <w:szCs w:val="32"/>
          <w:highlight w:val="none"/>
          <w:lang w:val="en-US" w:eastAsia="zh-CN"/>
        </w:rPr>
        <w:t>/采购</w:t>
      </w:r>
      <w:r>
        <w:rPr>
          <w:rFonts w:hint="eastAsia" w:ascii="仿宋_GB2312" w:eastAsia="仿宋_GB2312"/>
          <w:sz w:val="32"/>
          <w:szCs w:val="32"/>
          <w:highlight w:val="none"/>
        </w:rPr>
        <w:t>人征询其确定中标</w:t>
      </w:r>
      <w:r>
        <w:rPr>
          <w:rFonts w:hint="eastAsia" w:ascii="仿宋_GB2312" w:eastAsia="仿宋_GB2312"/>
          <w:sz w:val="32"/>
          <w:szCs w:val="32"/>
          <w:highlight w:val="none"/>
          <w:lang w:val="en-US" w:eastAsia="zh-CN"/>
        </w:rPr>
        <w:t>/成交人</w:t>
      </w:r>
      <w:r>
        <w:rPr>
          <w:rFonts w:hint="eastAsia" w:ascii="仿宋_GB2312" w:eastAsia="仿宋_GB2312"/>
          <w:sz w:val="32"/>
          <w:szCs w:val="32"/>
          <w:highlight w:val="none"/>
        </w:rPr>
        <w:t>的意向</w:t>
      </w:r>
      <w:r>
        <w:rPr>
          <w:rFonts w:hint="eastAsia" w:ascii="仿宋_GB2312" w:hAnsi="仿宋" w:eastAsia="仿宋_GB2312" w:cs="仿宋"/>
          <w:color w:val="auto"/>
          <w:sz w:val="32"/>
          <w:szCs w:val="32"/>
          <w:highlight w:val="none"/>
          <w:lang w:val="en-US" w:eastAsia="zh-CN"/>
        </w:rPr>
        <w:t>，</w:t>
      </w:r>
      <w:r>
        <w:rPr>
          <w:rFonts w:hint="eastAsia" w:ascii="仿宋_GB2312" w:eastAsia="仿宋_GB2312"/>
          <w:sz w:val="32"/>
          <w:szCs w:val="32"/>
          <w:highlight w:val="none"/>
        </w:rPr>
        <w:t>不得接受任何单位或者个人明示或者暗示提出的倾向或者排斥特定投标人的要求</w:t>
      </w:r>
      <w:r>
        <w:rPr>
          <w:rFonts w:hint="eastAsia" w:ascii="仿宋_GB2312" w:eastAsia="仿宋_GB2312"/>
          <w:sz w:val="32"/>
          <w:szCs w:val="32"/>
          <w:highlight w:val="none"/>
          <w:lang w:eastAsia="zh-CN"/>
        </w:rPr>
        <w:t>；</w:t>
      </w:r>
    </w:p>
    <w:p>
      <w:pPr>
        <w:spacing w:line="560" w:lineRule="exact"/>
        <w:ind w:firstLine="640" w:firstLineChars="200"/>
        <w:rPr>
          <w:rFonts w:hint="default"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（五）</w:t>
      </w:r>
      <w:r>
        <w:rPr>
          <w:rFonts w:hint="eastAsia" w:ascii="仿宋_GB2312" w:hAnsi="仿宋" w:eastAsia="仿宋_GB2312" w:cs="仿宋"/>
          <w:color w:val="auto"/>
          <w:sz w:val="32"/>
          <w:szCs w:val="32"/>
          <w:highlight w:val="none"/>
        </w:rPr>
        <w:t>遵守评标</w:t>
      </w:r>
      <w:r>
        <w:rPr>
          <w:rFonts w:hint="eastAsia" w:ascii="仿宋_GB2312" w:hAnsi="仿宋" w:eastAsia="仿宋_GB2312" w:cs="仿宋"/>
          <w:color w:val="auto"/>
          <w:sz w:val="32"/>
          <w:szCs w:val="32"/>
          <w:highlight w:val="none"/>
          <w:lang w:val="en-US" w:eastAsia="zh-CN"/>
        </w:rPr>
        <w:t>现场</w:t>
      </w:r>
      <w:r>
        <w:rPr>
          <w:rFonts w:hint="eastAsia" w:ascii="仿宋_GB2312" w:hAnsi="仿宋" w:eastAsia="仿宋_GB2312" w:cs="仿宋"/>
          <w:color w:val="auto"/>
          <w:sz w:val="32"/>
          <w:szCs w:val="32"/>
          <w:highlight w:val="none"/>
        </w:rPr>
        <w:t>纪律，</w:t>
      </w:r>
      <w:r>
        <w:rPr>
          <w:rFonts w:hint="eastAsia" w:ascii="仿宋_GB2312" w:hAnsi="仿宋" w:eastAsia="仿宋_GB2312" w:cs="仿宋"/>
          <w:color w:val="auto"/>
          <w:sz w:val="32"/>
          <w:szCs w:val="32"/>
          <w:highlight w:val="none"/>
          <w:lang w:val="en-US" w:eastAsia="zh-CN"/>
        </w:rPr>
        <w:t>不得暗示或者诱导投标人作出澄清、说明，或者接受投标人主动提出的澄清、说明；不得</w:t>
      </w:r>
      <w:r>
        <w:rPr>
          <w:rFonts w:hint="eastAsia" w:ascii="仿宋_GB2312" w:hAnsi="仿宋_GB2312" w:eastAsia="仿宋_GB2312" w:cs="仿宋_GB2312"/>
          <w:b w:val="0"/>
          <w:bCs/>
          <w:color w:val="auto"/>
          <w:sz w:val="32"/>
          <w:szCs w:val="32"/>
          <w:highlight w:val="none"/>
          <w:lang w:val="en-US" w:eastAsia="zh-CN"/>
        </w:rPr>
        <w:t>对其他评标/评审委员会成员的独立评审施加不当影响；不得未经同意擅自离开评审现场；</w:t>
      </w:r>
    </w:p>
    <w:p>
      <w:pPr>
        <w:spacing w:line="560" w:lineRule="exact"/>
        <w:ind w:firstLine="640" w:firstLineChars="200"/>
        <w:rPr>
          <w:rFonts w:hint="default"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（六）</w:t>
      </w:r>
      <w:r>
        <w:rPr>
          <w:rFonts w:hint="default" w:ascii="仿宋_GB2312" w:hAnsi="仿宋" w:eastAsia="仿宋_GB2312" w:cs="仿宋"/>
          <w:color w:val="auto"/>
          <w:sz w:val="32"/>
          <w:szCs w:val="32"/>
          <w:highlight w:val="none"/>
          <w:lang w:val="en-US" w:eastAsia="zh-CN"/>
        </w:rPr>
        <w:t>依法必须进行招标的项目，</w:t>
      </w:r>
      <w:r>
        <w:rPr>
          <w:rFonts w:hint="eastAsia" w:ascii="仿宋_GB2312" w:hAnsi="仿宋" w:eastAsia="仿宋_GB2312" w:cs="仿宋"/>
          <w:color w:val="auto"/>
          <w:sz w:val="32"/>
          <w:szCs w:val="32"/>
          <w:highlight w:val="none"/>
          <w:lang w:val="en-US" w:eastAsia="zh-CN"/>
        </w:rPr>
        <w:t>对于</w:t>
      </w:r>
      <w:r>
        <w:rPr>
          <w:rFonts w:hint="default" w:ascii="仿宋_GB2312" w:hAnsi="仿宋" w:eastAsia="仿宋_GB2312" w:cs="仿宋"/>
          <w:color w:val="auto"/>
          <w:sz w:val="32"/>
          <w:szCs w:val="32"/>
          <w:highlight w:val="none"/>
          <w:lang w:val="en-US" w:eastAsia="zh-CN"/>
        </w:rPr>
        <w:t>发现</w:t>
      </w:r>
      <w:r>
        <w:rPr>
          <w:rFonts w:hint="eastAsia" w:ascii="仿宋_GB2312" w:hAnsi="仿宋" w:eastAsia="仿宋_GB2312" w:cs="仿宋"/>
          <w:color w:val="auto"/>
          <w:sz w:val="32"/>
          <w:szCs w:val="32"/>
          <w:highlight w:val="none"/>
          <w:lang w:val="en-US" w:eastAsia="zh-CN"/>
        </w:rPr>
        <w:t>属于应当否决投标人情形</w:t>
      </w:r>
      <w:r>
        <w:rPr>
          <w:rFonts w:hint="default" w:ascii="仿宋_GB2312" w:hAnsi="仿宋" w:eastAsia="仿宋_GB2312" w:cs="仿宋"/>
          <w:color w:val="auto"/>
          <w:sz w:val="32"/>
          <w:szCs w:val="32"/>
          <w:highlight w:val="none"/>
          <w:lang w:val="en-US" w:eastAsia="zh-CN"/>
        </w:rPr>
        <w:t>的，应当依法否决其投标</w:t>
      </w:r>
      <w:r>
        <w:rPr>
          <w:rFonts w:hint="eastAsia" w:ascii="仿宋_GB2312" w:hAnsi="仿宋" w:eastAsia="仿宋_GB2312" w:cs="仿宋"/>
          <w:color w:val="auto"/>
          <w:sz w:val="32"/>
          <w:szCs w:val="32"/>
          <w:highlight w:val="none"/>
          <w:lang w:val="en-US" w:eastAsia="zh-CN"/>
        </w:rPr>
        <w:t>，且在评标报告中予以载明原因及相应否决结果；</w:t>
      </w:r>
    </w:p>
    <w:p>
      <w:pPr>
        <w:spacing w:line="560" w:lineRule="exact"/>
        <w:ind w:firstLine="640" w:firstLineChars="200"/>
        <w:rPr>
          <w:rFonts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七</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严格遵照</w:t>
      </w:r>
      <w:r>
        <w:rPr>
          <w:rFonts w:hint="eastAsia" w:ascii="仿宋_GB2312" w:hAnsi="仿宋" w:eastAsia="仿宋_GB2312" w:cs="仿宋"/>
          <w:color w:val="auto"/>
          <w:sz w:val="32"/>
          <w:szCs w:val="32"/>
          <w:highlight w:val="none"/>
          <w:lang w:eastAsia="zh-CN"/>
        </w:rPr>
        <w:t>招标</w:t>
      </w:r>
      <w:r>
        <w:rPr>
          <w:rFonts w:hint="eastAsia" w:ascii="仿宋_GB2312" w:hAnsi="仿宋" w:eastAsia="仿宋_GB2312" w:cs="仿宋"/>
          <w:color w:val="auto"/>
          <w:sz w:val="32"/>
          <w:szCs w:val="32"/>
          <w:highlight w:val="none"/>
          <w:lang w:val="en-US" w:eastAsia="zh-CN"/>
        </w:rPr>
        <w:t>采购</w:t>
      </w:r>
      <w:r>
        <w:rPr>
          <w:rFonts w:hint="eastAsia" w:ascii="仿宋_GB2312" w:hAnsi="仿宋" w:eastAsia="仿宋_GB2312" w:cs="仿宋"/>
          <w:color w:val="auto"/>
          <w:sz w:val="32"/>
          <w:szCs w:val="32"/>
          <w:highlight w:val="none"/>
          <w:lang w:eastAsia="zh-CN"/>
        </w:rPr>
        <w:t>文件确定的评</w:t>
      </w:r>
      <w:r>
        <w:rPr>
          <w:rFonts w:hint="eastAsia" w:ascii="仿宋_GB2312" w:hAnsi="仿宋" w:eastAsia="仿宋_GB2312" w:cs="仿宋"/>
          <w:color w:val="auto"/>
          <w:sz w:val="32"/>
          <w:szCs w:val="32"/>
          <w:highlight w:val="none"/>
          <w:lang w:val="en-US" w:eastAsia="zh-CN"/>
        </w:rPr>
        <w:t>审</w:t>
      </w:r>
      <w:r>
        <w:rPr>
          <w:rFonts w:hint="eastAsia" w:ascii="仿宋_GB2312" w:hAnsi="仿宋" w:eastAsia="仿宋_GB2312" w:cs="仿宋"/>
          <w:color w:val="auto"/>
          <w:sz w:val="32"/>
          <w:szCs w:val="32"/>
          <w:highlight w:val="none"/>
          <w:lang w:eastAsia="zh-CN"/>
        </w:rPr>
        <w:t>标准和方法客观公正地进行</w:t>
      </w:r>
      <w:r>
        <w:rPr>
          <w:rFonts w:hint="eastAsia" w:ascii="仿宋_GB2312" w:hAnsi="仿宋" w:eastAsia="仿宋_GB2312" w:cs="仿宋"/>
          <w:color w:val="auto"/>
          <w:sz w:val="32"/>
          <w:szCs w:val="32"/>
          <w:highlight w:val="none"/>
          <w:lang w:val="en-US" w:eastAsia="zh-CN"/>
        </w:rPr>
        <w:t>独立</w:t>
      </w:r>
      <w:r>
        <w:rPr>
          <w:rFonts w:hint="eastAsia" w:ascii="仿宋_GB2312" w:hAnsi="仿宋" w:eastAsia="仿宋_GB2312" w:cs="仿宋"/>
          <w:color w:val="auto"/>
          <w:sz w:val="32"/>
          <w:szCs w:val="32"/>
          <w:highlight w:val="none"/>
          <w:lang w:eastAsia="zh-CN"/>
        </w:rPr>
        <w:t>评</w:t>
      </w:r>
      <w:r>
        <w:rPr>
          <w:rFonts w:hint="eastAsia" w:ascii="仿宋_GB2312" w:hAnsi="仿宋" w:eastAsia="仿宋_GB2312" w:cs="仿宋"/>
          <w:color w:val="auto"/>
          <w:sz w:val="32"/>
          <w:szCs w:val="32"/>
          <w:highlight w:val="none"/>
          <w:lang w:val="en-US" w:eastAsia="zh-CN"/>
        </w:rPr>
        <w:t>审，</w:t>
      </w:r>
      <w:r>
        <w:rPr>
          <w:rFonts w:hint="eastAsia" w:ascii="仿宋_GB2312" w:hAnsi="仿宋" w:eastAsia="仿宋_GB2312" w:cs="仿宋"/>
          <w:color w:val="auto"/>
          <w:sz w:val="32"/>
          <w:szCs w:val="32"/>
          <w:highlight w:val="none"/>
        </w:rPr>
        <w:t>对所签署的</w:t>
      </w:r>
      <w:r>
        <w:rPr>
          <w:rFonts w:hint="eastAsia" w:ascii="仿宋_GB2312" w:hAnsi="仿宋" w:eastAsia="仿宋_GB2312" w:cs="仿宋"/>
          <w:color w:val="auto"/>
          <w:sz w:val="32"/>
          <w:szCs w:val="32"/>
          <w:highlight w:val="none"/>
          <w:lang w:val="en-US" w:eastAsia="zh-CN"/>
        </w:rPr>
        <w:t>评标/评审</w:t>
      </w:r>
      <w:r>
        <w:rPr>
          <w:rFonts w:hint="eastAsia" w:ascii="仿宋_GB2312" w:hAnsi="仿宋" w:eastAsia="仿宋_GB2312" w:cs="仿宋"/>
          <w:color w:val="auto"/>
          <w:sz w:val="32"/>
          <w:szCs w:val="32"/>
          <w:highlight w:val="none"/>
        </w:rPr>
        <w:t>意见负责；</w:t>
      </w:r>
    </w:p>
    <w:p>
      <w:pPr>
        <w:spacing w:line="560" w:lineRule="exact"/>
        <w:ind w:firstLine="640" w:firstLineChars="200"/>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lang w:val="en-US" w:eastAsia="zh-CN"/>
        </w:rPr>
        <w:t>（八）</w:t>
      </w:r>
      <w:r>
        <w:rPr>
          <w:rFonts w:hint="eastAsia" w:ascii="仿宋_GB2312" w:eastAsia="仿宋_GB2312"/>
          <w:sz w:val="32"/>
          <w:szCs w:val="32"/>
          <w:highlight w:val="none"/>
        </w:rPr>
        <w:t>不得透露对投标文件的评审和比较、中标</w:t>
      </w:r>
      <w:r>
        <w:rPr>
          <w:rFonts w:hint="eastAsia" w:ascii="仿宋_GB2312" w:eastAsia="仿宋_GB2312"/>
          <w:sz w:val="32"/>
          <w:szCs w:val="32"/>
          <w:highlight w:val="none"/>
          <w:lang w:val="en-US" w:eastAsia="zh-CN"/>
        </w:rPr>
        <w:t>/成交</w:t>
      </w:r>
      <w:r>
        <w:rPr>
          <w:rFonts w:hint="eastAsia" w:ascii="仿宋_GB2312" w:eastAsia="仿宋_GB2312"/>
          <w:sz w:val="32"/>
          <w:szCs w:val="32"/>
          <w:highlight w:val="none"/>
        </w:rPr>
        <w:t>候选人的推荐情况以及与评标</w:t>
      </w:r>
      <w:r>
        <w:rPr>
          <w:rFonts w:hint="eastAsia" w:ascii="仿宋_GB2312" w:eastAsia="仿宋_GB2312"/>
          <w:sz w:val="32"/>
          <w:szCs w:val="32"/>
          <w:highlight w:val="none"/>
          <w:lang w:val="en-US" w:eastAsia="zh-CN"/>
        </w:rPr>
        <w:t>/评审</w:t>
      </w:r>
      <w:r>
        <w:rPr>
          <w:rFonts w:hint="eastAsia" w:ascii="仿宋_GB2312" w:eastAsia="仿宋_GB2312"/>
          <w:sz w:val="32"/>
          <w:szCs w:val="32"/>
          <w:highlight w:val="none"/>
        </w:rPr>
        <w:t>有关的其他情况</w:t>
      </w: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不得将评标/评审过程中产生的计算或比对记录稿及其他评审纸质或电子资料带离评标/评审现场，或发出电子文档；</w:t>
      </w:r>
    </w:p>
    <w:p>
      <w:pPr>
        <w:spacing w:line="560" w:lineRule="exact"/>
        <w:ind w:firstLine="640" w:firstLineChars="200"/>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九</w:t>
      </w:r>
      <w:r>
        <w:rPr>
          <w:rFonts w:hint="eastAsia" w:ascii="仿宋_GB2312" w:hAnsi="仿宋" w:eastAsia="仿宋_GB2312" w:cs="仿宋"/>
          <w:color w:val="auto"/>
          <w:sz w:val="32"/>
          <w:szCs w:val="32"/>
          <w:highlight w:val="none"/>
        </w:rPr>
        <w:t>）准时参加</w:t>
      </w:r>
      <w:r>
        <w:rPr>
          <w:rFonts w:hint="eastAsia" w:ascii="仿宋_GB2312" w:hAnsi="仿宋" w:eastAsia="仿宋_GB2312" w:cs="仿宋"/>
          <w:color w:val="auto"/>
          <w:sz w:val="32"/>
          <w:szCs w:val="32"/>
          <w:highlight w:val="none"/>
          <w:lang w:val="en-US" w:eastAsia="zh-CN"/>
        </w:rPr>
        <w:t>评标/评审</w:t>
      </w:r>
      <w:r>
        <w:rPr>
          <w:rFonts w:hint="eastAsia" w:ascii="仿宋_GB2312" w:hAnsi="仿宋" w:eastAsia="仿宋_GB2312" w:cs="仿宋"/>
          <w:color w:val="auto"/>
          <w:sz w:val="32"/>
          <w:szCs w:val="32"/>
          <w:highlight w:val="none"/>
        </w:rPr>
        <w:t>活动，</w:t>
      </w:r>
      <w:r>
        <w:rPr>
          <w:rFonts w:hint="eastAsia" w:ascii="仿宋_GB2312" w:hAnsi="仿宋" w:eastAsia="仿宋_GB2312" w:cs="仿宋"/>
          <w:color w:val="auto"/>
          <w:sz w:val="32"/>
          <w:szCs w:val="32"/>
          <w:highlight w:val="none"/>
          <w:lang w:val="en-US" w:eastAsia="zh-CN"/>
        </w:rPr>
        <w:t>接受鞍钢招标评标/评审工作通知和安排</w:t>
      </w: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不得随意请假或缺席评审活动</w:t>
      </w:r>
      <w:r>
        <w:rPr>
          <w:rFonts w:hint="eastAsia" w:ascii="仿宋_GB2312" w:hAnsi="仿宋" w:eastAsia="仿宋_GB2312" w:cs="仿宋"/>
          <w:color w:val="auto"/>
          <w:sz w:val="32"/>
          <w:szCs w:val="32"/>
          <w:highlight w:val="none"/>
        </w:rPr>
        <w:t>；</w:t>
      </w:r>
    </w:p>
    <w:p>
      <w:pPr>
        <w:spacing w:line="560" w:lineRule="exact"/>
        <w:ind w:firstLine="640" w:firstLineChars="200"/>
        <w:rPr>
          <w:rFonts w:ascii="仿宋_GB2312" w:hAnsi="仿宋" w:eastAsia="仿宋_GB2312" w:cs="Times New Roman"/>
          <w:color w:val="auto"/>
          <w:sz w:val="32"/>
          <w:szCs w:val="32"/>
          <w:highlight w:val="none"/>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十</w:t>
      </w:r>
      <w:r>
        <w:rPr>
          <w:rFonts w:hint="eastAsia" w:ascii="仿宋_GB2312" w:hAnsi="仿宋" w:eastAsia="仿宋_GB2312" w:cs="仿宋"/>
          <w:color w:val="auto"/>
          <w:sz w:val="32"/>
          <w:szCs w:val="32"/>
          <w:highlight w:val="none"/>
        </w:rPr>
        <w:t>）协助、配合招标人</w:t>
      </w:r>
      <w:r>
        <w:rPr>
          <w:rFonts w:hint="eastAsia" w:ascii="仿宋_GB2312" w:hAnsi="仿宋" w:eastAsia="仿宋_GB2312" w:cs="仿宋"/>
          <w:color w:val="auto"/>
          <w:sz w:val="32"/>
          <w:szCs w:val="32"/>
          <w:highlight w:val="none"/>
          <w:lang w:val="en-US" w:eastAsia="zh-CN"/>
        </w:rPr>
        <w:t>及鞍钢招标</w:t>
      </w:r>
      <w:r>
        <w:rPr>
          <w:rFonts w:hint="eastAsia" w:ascii="仿宋_GB2312" w:hAnsi="仿宋" w:eastAsia="仿宋_GB2312" w:cs="仿宋"/>
          <w:color w:val="auto"/>
          <w:sz w:val="32"/>
          <w:szCs w:val="32"/>
          <w:highlight w:val="none"/>
        </w:rPr>
        <w:t>处理异议，按规定程序复核、纠正评标</w:t>
      </w:r>
      <w:r>
        <w:rPr>
          <w:rFonts w:hint="eastAsia" w:ascii="仿宋_GB2312" w:hAnsi="仿宋" w:eastAsia="仿宋_GB2312" w:cs="仿宋"/>
          <w:color w:val="auto"/>
          <w:sz w:val="32"/>
          <w:szCs w:val="32"/>
          <w:highlight w:val="none"/>
          <w:lang w:val="en-US" w:eastAsia="zh-CN"/>
        </w:rPr>
        <w:t>/评审</w:t>
      </w:r>
      <w:r>
        <w:rPr>
          <w:rFonts w:hint="eastAsia" w:ascii="仿宋_GB2312" w:hAnsi="仿宋" w:eastAsia="仿宋_GB2312" w:cs="仿宋"/>
          <w:color w:val="auto"/>
          <w:sz w:val="32"/>
          <w:szCs w:val="32"/>
          <w:highlight w:val="none"/>
        </w:rPr>
        <w:t>报告中的错误；</w:t>
      </w:r>
    </w:p>
    <w:p>
      <w:pPr>
        <w:spacing w:line="560" w:lineRule="exact"/>
        <w:ind w:firstLine="640" w:firstLineChars="200"/>
        <w:rPr>
          <w:rFonts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十一</w:t>
      </w:r>
      <w:r>
        <w:rPr>
          <w:rFonts w:hint="eastAsia" w:ascii="仿宋_GB2312" w:hAnsi="仿宋" w:eastAsia="仿宋_GB2312" w:cs="仿宋"/>
          <w:color w:val="auto"/>
          <w:sz w:val="32"/>
          <w:szCs w:val="32"/>
          <w:highlight w:val="none"/>
        </w:rPr>
        <w:t>）发现违法违规行为主动向</w:t>
      </w:r>
      <w:r>
        <w:rPr>
          <w:rFonts w:hint="eastAsia" w:ascii="仿宋_GB2312" w:hAnsi="仿宋" w:eastAsia="仿宋_GB2312" w:cs="仿宋"/>
          <w:color w:val="auto"/>
          <w:sz w:val="32"/>
          <w:szCs w:val="32"/>
          <w:highlight w:val="none"/>
          <w:lang w:val="en-US" w:eastAsia="zh-CN"/>
        </w:rPr>
        <w:t>鞍钢招标、</w:t>
      </w:r>
      <w:r>
        <w:rPr>
          <w:rFonts w:hint="eastAsia" w:ascii="仿宋_GB2312" w:hAnsi="仿宋" w:eastAsia="仿宋_GB2312" w:cs="仿宋"/>
          <w:color w:val="auto"/>
          <w:sz w:val="32"/>
          <w:szCs w:val="32"/>
          <w:highlight w:val="none"/>
        </w:rPr>
        <w:t>招标</w:t>
      </w:r>
      <w:r>
        <w:rPr>
          <w:rFonts w:hint="eastAsia" w:ascii="仿宋_GB2312" w:hAnsi="仿宋" w:eastAsia="仿宋_GB2312" w:cs="仿宋"/>
          <w:color w:val="auto"/>
          <w:sz w:val="32"/>
          <w:szCs w:val="32"/>
          <w:highlight w:val="none"/>
          <w:lang w:val="en-US" w:eastAsia="zh-CN"/>
        </w:rPr>
        <w:t>/采购</w:t>
      </w:r>
      <w:r>
        <w:rPr>
          <w:rFonts w:hint="eastAsia" w:ascii="仿宋_GB2312" w:hAnsi="仿宋" w:eastAsia="仿宋_GB2312" w:cs="仿宋"/>
          <w:color w:val="auto"/>
          <w:sz w:val="32"/>
          <w:szCs w:val="32"/>
          <w:highlight w:val="none"/>
        </w:rPr>
        <w:t>人、</w:t>
      </w:r>
      <w:r>
        <w:rPr>
          <w:rFonts w:hint="eastAsia" w:ascii="仿宋_GB2312" w:hAnsi="仿宋" w:eastAsia="仿宋_GB2312" w:cs="仿宋"/>
          <w:color w:val="auto"/>
          <w:sz w:val="32"/>
          <w:szCs w:val="32"/>
          <w:highlight w:val="none"/>
          <w:lang w:val="en-US" w:eastAsia="zh-CN"/>
        </w:rPr>
        <w:t>鞍钢集团招标采购管理部门、</w:t>
      </w:r>
      <w:r>
        <w:rPr>
          <w:rFonts w:hint="eastAsia" w:ascii="仿宋_GB2312" w:hAnsi="仿宋" w:eastAsia="仿宋_GB2312" w:cs="仿宋"/>
          <w:color w:val="auto"/>
          <w:sz w:val="32"/>
          <w:szCs w:val="32"/>
          <w:highlight w:val="none"/>
        </w:rPr>
        <w:t>有关行政监督部门反映，协助、配合有关行政监督部门、纪检监察机关、司法机关、审计部门开展监督、检查、调查；</w:t>
      </w:r>
    </w:p>
    <w:p>
      <w:p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十二</w:t>
      </w:r>
      <w:r>
        <w:rPr>
          <w:rFonts w:hint="eastAsia" w:ascii="仿宋_GB2312" w:hAnsi="仿宋" w:eastAsia="仿宋_GB2312" w:cs="仿宋"/>
          <w:color w:val="auto"/>
          <w:sz w:val="32"/>
          <w:szCs w:val="32"/>
          <w:highlight w:val="none"/>
        </w:rPr>
        <w:t>）法律</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法规</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规章规定的其他义务。</w:t>
      </w:r>
    </w:p>
    <w:p>
      <w:pPr>
        <w:numPr>
          <w:ilvl w:val="0"/>
          <w:numId w:val="0"/>
        </w:numPr>
        <w:tabs>
          <w:tab w:val="left" w:pos="0"/>
        </w:tabs>
        <w:spacing w:line="560" w:lineRule="exact"/>
        <w:ind w:firstLine="640" w:firstLineChars="200"/>
        <w:jc w:val="left"/>
        <w:rPr>
          <w:rFonts w:hint="eastAsia" w:ascii="仿宋_GB2312" w:hAnsi="仿宋_GB2312" w:eastAsia="仿宋_GB2312" w:cs="仿宋_GB2312"/>
          <w:sz w:val="32"/>
          <w:szCs w:val="32"/>
          <w:highlight w:val="none"/>
        </w:rPr>
      </w:pPr>
      <w:r>
        <w:rPr>
          <w:rFonts w:hint="eastAsia" w:ascii="黑体" w:hAnsi="黑体" w:eastAsia="黑体" w:cs="黑体"/>
          <w:b w:val="0"/>
          <w:bCs w:val="0"/>
          <w:color w:val="auto"/>
          <w:sz w:val="32"/>
          <w:szCs w:val="32"/>
          <w:highlight w:val="none"/>
          <w:lang w:val="en-US" w:eastAsia="zh-CN"/>
        </w:rPr>
        <w:t xml:space="preserve">第十八条 </w:t>
      </w:r>
      <w:r>
        <w:rPr>
          <w:rFonts w:hint="eastAsia" w:ascii="仿宋_GB2312" w:hAnsi="仿宋_GB2312" w:eastAsia="仿宋_GB2312" w:cs="仿宋_GB2312"/>
          <w:sz w:val="32"/>
          <w:szCs w:val="32"/>
          <w:highlight w:val="none"/>
        </w:rPr>
        <w:t>存在下列情形之一的，不得入选评标专家库：</w:t>
      </w:r>
    </w:p>
    <w:p>
      <w:pPr>
        <w:numPr>
          <w:ilvl w:val="-1"/>
          <w:numId w:val="0"/>
        </w:num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无民事行为能力或者限制民事行为能力的；</w:t>
      </w:r>
    </w:p>
    <w:p>
      <w:pPr>
        <w:numPr>
          <w:ilvl w:val="-1"/>
          <w:numId w:val="0"/>
        </w:num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被有关行政监督部门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鞍钢集团有关部门、鞍钢招标</w:t>
      </w:r>
      <w:r>
        <w:rPr>
          <w:rFonts w:hint="eastAsia" w:ascii="仿宋_GB2312" w:hAnsi="仿宋_GB2312" w:eastAsia="仿宋_GB2312" w:cs="仿宋_GB2312"/>
          <w:sz w:val="32"/>
          <w:szCs w:val="32"/>
          <w:highlight w:val="none"/>
        </w:rPr>
        <w:t>取消担任评标委员会成员资格的；</w:t>
      </w:r>
    </w:p>
    <w:p>
      <w:pPr>
        <w:numPr>
          <w:ilvl w:val="-1"/>
          <w:numId w:val="0"/>
        </w:num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被开除公职的；</w:t>
      </w:r>
    </w:p>
    <w:p>
      <w:pPr>
        <w:numPr>
          <w:ilvl w:val="-1"/>
          <w:numId w:val="0"/>
        </w:num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受过刑事处罚的；</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被列入严重失信主体名单的；</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法律、法规、规章规定的其他情形。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仿宋"/>
          <w:b/>
          <w:bCs/>
          <w:color w:val="auto"/>
          <w:sz w:val="32"/>
          <w:szCs w:val="32"/>
          <w:highlight w:val="none"/>
        </w:rPr>
      </w:pPr>
      <w:r>
        <w:rPr>
          <w:rFonts w:hint="eastAsia" w:ascii="宋体" w:hAnsi="宋体" w:cs="仿宋"/>
          <w:b/>
          <w:bCs/>
          <w:color w:val="auto"/>
          <w:sz w:val="32"/>
          <w:szCs w:val="32"/>
          <w:highlight w:val="none"/>
        </w:rPr>
        <w:t>第四章  评标专家选聘</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仿宋" w:eastAsia="仿宋_GB2312" w:cs="Times New Roman"/>
          <w:b/>
          <w:bCs/>
          <w:color w:val="auto"/>
          <w:sz w:val="32"/>
          <w:szCs w:val="32"/>
          <w:highlight w:val="none"/>
        </w:rPr>
      </w:pP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ascii="仿宋_GB2312" w:hAnsi="仿宋" w:eastAsia="仿宋_GB2312" w:cs="Times New Roman"/>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第十九条 </w:t>
      </w:r>
      <w:r>
        <w:rPr>
          <w:rFonts w:hint="eastAsia" w:ascii="仿宋_GB2312" w:hAnsi="仿宋" w:eastAsia="仿宋_GB2312" w:cs="仿宋"/>
          <w:color w:val="auto"/>
          <w:sz w:val="32"/>
          <w:szCs w:val="32"/>
          <w:highlight w:val="none"/>
        </w:rPr>
        <w:t>评标专家选聘范围：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（一）鞍钢集团</w:t>
      </w:r>
      <w:r>
        <w:rPr>
          <w:rFonts w:hint="eastAsia" w:ascii="仿宋_GB2312" w:hAnsi="仿宋" w:eastAsia="仿宋_GB2312" w:cs="仿宋"/>
          <w:color w:val="auto"/>
          <w:sz w:val="32"/>
          <w:szCs w:val="32"/>
          <w:highlight w:val="none"/>
          <w:lang w:val="en-US" w:eastAsia="zh-CN"/>
        </w:rPr>
        <w:t>内部</w:t>
      </w:r>
      <w:r>
        <w:rPr>
          <w:rFonts w:hint="eastAsia" w:ascii="仿宋_GB2312" w:hAnsi="仿宋" w:eastAsia="仿宋_GB2312" w:cs="仿宋"/>
          <w:color w:val="auto"/>
          <w:sz w:val="32"/>
          <w:szCs w:val="32"/>
          <w:highlight w:val="none"/>
        </w:rPr>
        <w:t>从事研发设计、技术质量、生产制造、工程建设、信息化、</w:t>
      </w:r>
      <w:r>
        <w:rPr>
          <w:rFonts w:hint="eastAsia" w:ascii="仿宋_GB2312" w:hAnsi="仿宋" w:eastAsia="仿宋_GB2312" w:cs="仿宋"/>
          <w:color w:val="auto"/>
          <w:sz w:val="32"/>
          <w:szCs w:val="32"/>
          <w:highlight w:val="none"/>
          <w:lang w:val="en-US" w:eastAsia="zh-CN"/>
        </w:rPr>
        <w:t>检测</w:t>
      </w:r>
      <w:r>
        <w:rPr>
          <w:rFonts w:hint="eastAsia" w:ascii="仿宋_GB2312" w:hAnsi="仿宋" w:eastAsia="仿宋_GB2312" w:cs="仿宋"/>
          <w:color w:val="auto"/>
          <w:sz w:val="32"/>
          <w:szCs w:val="32"/>
          <w:highlight w:val="none"/>
        </w:rPr>
        <w:t>检验、设备运行、能源动力、安全环保、物流运输、咨询服务等相关专业技术或高技能人才</w:t>
      </w:r>
      <w:r>
        <w:rPr>
          <w:rFonts w:hint="eastAsia" w:ascii="仿宋_GB2312" w:hAnsi="仿宋" w:eastAsia="仿宋_GB2312" w:cs="仿宋"/>
          <w:color w:val="auto"/>
          <w:sz w:val="32"/>
          <w:szCs w:val="32"/>
          <w:highlight w:val="none"/>
          <w:lang w:eastAsia="zh-CN"/>
        </w:rPr>
        <w:t>及其退休人员</w:t>
      </w:r>
      <w:r>
        <w:rPr>
          <w:rFonts w:hint="eastAsia" w:ascii="仿宋_GB2312" w:hAnsi="仿宋" w:eastAsia="仿宋_GB2312" w:cs="仿宋"/>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（二）鞍钢集团</w:t>
      </w:r>
      <w:r>
        <w:rPr>
          <w:rFonts w:hint="eastAsia" w:ascii="仿宋_GB2312" w:hAnsi="仿宋" w:eastAsia="仿宋_GB2312" w:cs="仿宋"/>
          <w:color w:val="auto"/>
          <w:sz w:val="32"/>
          <w:szCs w:val="32"/>
          <w:highlight w:val="none"/>
          <w:lang w:val="en-US" w:eastAsia="zh-CN"/>
        </w:rPr>
        <w:t>内部</w:t>
      </w:r>
      <w:r>
        <w:rPr>
          <w:rFonts w:hint="eastAsia" w:ascii="仿宋_GB2312" w:hAnsi="仿宋" w:eastAsia="仿宋_GB2312" w:cs="仿宋"/>
          <w:color w:val="auto"/>
          <w:sz w:val="32"/>
          <w:szCs w:val="32"/>
          <w:highlight w:val="none"/>
        </w:rPr>
        <w:t>从事物资、工程、货物采购</w:t>
      </w:r>
      <w:r>
        <w:rPr>
          <w:rFonts w:hint="eastAsia" w:ascii="仿宋_GB2312" w:hAnsi="仿宋" w:eastAsia="仿宋_GB2312" w:cs="仿宋"/>
          <w:color w:val="auto"/>
          <w:sz w:val="32"/>
          <w:szCs w:val="32"/>
          <w:highlight w:val="none"/>
          <w:lang w:val="en-US" w:eastAsia="zh-CN"/>
        </w:rPr>
        <w:t>或</w:t>
      </w:r>
      <w:r>
        <w:rPr>
          <w:rFonts w:hint="eastAsia" w:ascii="仿宋_GB2312" w:hAnsi="仿宋" w:eastAsia="仿宋_GB2312" w:cs="仿宋"/>
          <w:color w:val="auto"/>
          <w:sz w:val="32"/>
          <w:szCs w:val="32"/>
          <w:highlight w:val="none"/>
        </w:rPr>
        <w:t>销售业务管理</w:t>
      </w:r>
      <w:r>
        <w:rPr>
          <w:rFonts w:hint="eastAsia" w:ascii="仿宋_GB2312" w:hAnsi="仿宋" w:eastAsia="仿宋_GB2312" w:cs="仿宋"/>
          <w:color w:val="auto"/>
          <w:sz w:val="32"/>
          <w:szCs w:val="32"/>
          <w:highlight w:val="none"/>
          <w:lang w:val="en-US" w:eastAsia="zh-CN"/>
        </w:rPr>
        <w:t>活动</w:t>
      </w:r>
      <w:r>
        <w:rPr>
          <w:rFonts w:hint="eastAsia" w:ascii="仿宋_GB2312" w:hAnsi="仿宋" w:eastAsia="仿宋_GB2312" w:cs="仿宋"/>
          <w:color w:val="auto"/>
          <w:sz w:val="32"/>
          <w:szCs w:val="32"/>
          <w:highlight w:val="none"/>
        </w:rPr>
        <w:t>及</w:t>
      </w:r>
      <w:r>
        <w:rPr>
          <w:rFonts w:hint="eastAsia" w:ascii="仿宋_GB2312" w:hAnsi="仿宋" w:eastAsia="仿宋_GB2312" w:cs="仿宋"/>
          <w:color w:val="auto"/>
          <w:sz w:val="32"/>
          <w:szCs w:val="32"/>
          <w:highlight w:val="none"/>
          <w:lang w:eastAsia="zh-CN"/>
        </w:rPr>
        <w:t>其</w:t>
      </w:r>
      <w:r>
        <w:rPr>
          <w:rFonts w:hint="eastAsia" w:ascii="仿宋_GB2312" w:hAnsi="仿宋" w:eastAsia="仿宋_GB2312" w:cs="仿宋"/>
          <w:color w:val="auto"/>
          <w:sz w:val="32"/>
          <w:szCs w:val="32"/>
          <w:highlight w:val="none"/>
        </w:rPr>
        <w:t>退休人员；</w:t>
      </w:r>
    </w:p>
    <w:p>
      <w:p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（三）鞍钢集团以外</w:t>
      </w:r>
      <w:r>
        <w:rPr>
          <w:rFonts w:hint="eastAsia" w:ascii="仿宋_GB2312" w:hAnsi="仿宋" w:eastAsia="仿宋_GB2312" w:cs="仿宋"/>
          <w:color w:val="auto"/>
          <w:sz w:val="32"/>
          <w:szCs w:val="32"/>
          <w:highlight w:val="none"/>
          <w:lang w:val="en-US" w:eastAsia="zh-CN"/>
        </w:rPr>
        <w:t>的</w:t>
      </w:r>
      <w:r>
        <w:rPr>
          <w:rFonts w:hint="eastAsia" w:ascii="仿宋_GB2312" w:hAnsi="仿宋" w:eastAsia="仿宋_GB2312" w:cs="仿宋"/>
          <w:color w:val="auto"/>
          <w:sz w:val="32"/>
          <w:szCs w:val="32"/>
          <w:highlight w:val="none"/>
        </w:rPr>
        <w:t>科研机构、高等院校和知名企事业等单位的专家学者及</w:t>
      </w:r>
      <w:r>
        <w:rPr>
          <w:rFonts w:hint="eastAsia" w:ascii="仿宋_GB2312" w:hAnsi="仿宋" w:eastAsia="仿宋_GB2312" w:cs="仿宋"/>
          <w:color w:val="auto"/>
          <w:sz w:val="32"/>
          <w:szCs w:val="32"/>
          <w:highlight w:val="none"/>
          <w:lang w:eastAsia="zh-CN"/>
        </w:rPr>
        <w:t>其</w:t>
      </w:r>
      <w:r>
        <w:rPr>
          <w:rFonts w:hint="eastAsia" w:ascii="仿宋_GB2312" w:hAnsi="仿宋" w:eastAsia="仿宋_GB2312" w:cs="仿宋"/>
          <w:color w:val="auto"/>
          <w:sz w:val="32"/>
          <w:szCs w:val="32"/>
          <w:highlight w:val="none"/>
        </w:rPr>
        <w:t>退休人员；</w:t>
      </w:r>
    </w:p>
    <w:p>
      <w:pPr>
        <w:spacing w:line="560" w:lineRule="exact"/>
        <w:ind w:firstLine="640" w:firstLineChars="200"/>
        <w:rPr>
          <w:rFonts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（四）国家相关</w:t>
      </w:r>
      <w:r>
        <w:rPr>
          <w:rFonts w:hint="eastAsia" w:ascii="仿宋_GB2312" w:hAnsi="仿宋" w:eastAsia="仿宋_GB2312" w:cs="仿宋"/>
          <w:color w:val="auto"/>
          <w:sz w:val="32"/>
          <w:szCs w:val="32"/>
          <w:highlight w:val="none"/>
          <w:lang w:val="en-US" w:eastAsia="zh-CN"/>
        </w:rPr>
        <w:t>中级及以上</w:t>
      </w:r>
      <w:r>
        <w:rPr>
          <w:rFonts w:hint="eastAsia" w:ascii="仿宋_GB2312" w:hAnsi="仿宋" w:eastAsia="仿宋_GB2312" w:cs="仿宋"/>
          <w:color w:val="auto"/>
          <w:sz w:val="32"/>
          <w:szCs w:val="32"/>
          <w:highlight w:val="none"/>
        </w:rPr>
        <w:t>注册</w:t>
      </w:r>
      <w:r>
        <w:rPr>
          <w:rFonts w:hint="eastAsia" w:ascii="仿宋_GB2312" w:hAnsi="仿宋" w:eastAsia="仿宋_GB2312" w:cs="仿宋"/>
          <w:color w:val="auto"/>
          <w:sz w:val="32"/>
          <w:szCs w:val="32"/>
          <w:highlight w:val="none"/>
          <w:lang w:val="en-US" w:eastAsia="zh-CN"/>
        </w:rPr>
        <w:t>职业或</w:t>
      </w:r>
      <w:r>
        <w:rPr>
          <w:rFonts w:hint="eastAsia" w:ascii="仿宋_GB2312" w:hAnsi="仿宋" w:eastAsia="仿宋_GB2312" w:cs="仿宋"/>
          <w:color w:val="auto"/>
          <w:sz w:val="32"/>
          <w:szCs w:val="32"/>
          <w:highlight w:val="none"/>
        </w:rPr>
        <w:t>执业资格师。</w:t>
      </w:r>
    </w:p>
    <w:p>
      <w:pPr>
        <w:numPr>
          <w:ilvl w:val="0"/>
          <w:numId w:val="0"/>
        </w:numPr>
        <w:tabs>
          <w:tab w:val="left" w:pos="0"/>
        </w:tabs>
        <w:spacing w:line="560" w:lineRule="exact"/>
        <w:ind w:firstLine="640" w:firstLineChars="200"/>
        <w:jc w:val="left"/>
        <w:rPr>
          <w:rFonts w:ascii="仿宋_GB2312" w:hAnsi="仿宋" w:eastAsia="仿宋_GB2312" w:cs="仿宋"/>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第二十条 </w:t>
      </w:r>
      <w:r>
        <w:rPr>
          <w:rFonts w:hint="eastAsia" w:ascii="仿宋_GB2312" w:hAnsi="仿宋" w:eastAsia="仿宋_GB2312" w:cs="仿宋"/>
          <w:color w:val="auto"/>
          <w:sz w:val="32"/>
          <w:szCs w:val="32"/>
          <w:highlight w:val="none"/>
        </w:rPr>
        <w:t>入选评标专家库</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实行个人申请和单位推荐相结合的方式。申请入库人员</w:t>
      </w:r>
      <w:r>
        <w:rPr>
          <w:rFonts w:hint="eastAsia" w:ascii="仿宋_GB2312" w:hAnsi="仿宋" w:eastAsia="仿宋_GB2312" w:cs="仿宋"/>
          <w:b w:val="0"/>
          <w:bCs w:val="0"/>
          <w:color w:val="auto"/>
          <w:sz w:val="32"/>
          <w:szCs w:val="32"/>
          <w:highlight w:val="none"/>
          <w:lang w:eastAsia="zh-CN"/>
        </w:rPr>
        <w:t>需</w:t>
      </w:r>
      <w:r>
        <w:rPr>
          <w:rFonts w:hint="eastAsia" w:ascii="仿宋_GB2312" w:hAnsi="仿宋" w:eastAsia="仿宋_GB2312" w:cs="仿宋"/>
          <w:color w:val="auto"/>
          <w:sz w:val="32"/>
          <w:szCs w:val="32"/>
          <w:highlight w:val="none"/>
        </w:rPr>
        <w:t>登录鞍钢集团</w:t>
      </w:r>
      <w:r>
        <w:rPr>
          <w:rFonts w:hint="eastAsia" w:ascii="仿宋_GB2312" w:hAnsi="仿宋" w:eastAsia="仿宋_GB2312" w:cs="仿宋"/>
          <w:color w:val="auto"/>
          <w:sz w:val="32"/>
          <w:szCs w:val="32"/>
          <w:highlight w:val="none"/>
          <w:lang w:val="en-US" w:eastAsia="zh-CN"/>
        </w:rPr>
        <w:t>智慧招投标平台</w:t>
      </w:r>
      <w:r>
        <w:rPr>
          <w:rFonts w:hint="eastAsia" w:ascii="仿宋_GB2312" w:hAnsi="仿宋" w:eastAsia="仿宋_GB2312" w:cs="仿宋"/>
          <w:color w:val="auto"/>
          <w:sz w:val="32"/>
          <w:szCs w:val="32"/>
          <w:highlight w:val="none"/>
        </w:rPr>
        <w:t>进行</w:t>
      </w:r>
      <w:r>
        <w:rPr>
          <w:rFonts w:hint="eastAsia" w:ascii="仿宋_GB2312" w:hAnsi="仿宋" w:eastAsia="仿宋_GB2312" w:cs="仿宋"/>
          <w:color w:val="auto"/>
          <w:sz w:val="32"/>
          <w:szCs w:val="32"/>
          <w:highlight w:val="none"/>
          <w:lang w:val="en-US" w:eastAsia="zh-CN"/>
        </w:rPr>
        <w:t>网上</w:t>
      </w:r>
      <w:r>
        <w:rPr>
          <w:rFonts w:hint="eastAsia" w:ascii="仿宋_GB2312" w:hAnsi="仿宋" w:eastAsia="仿宋_GB2312" w:cs="仿宋"/>
          <w:color w:val="auto"/>
          <w:sz w:val="32"/>
          <w:szCs w:val="32"/>
          <w:highlight w:val="none"/>
        </w:rPr>
        <w:t>申报。</w:t>
      </w:r>
      <w:r>
        <w:rPr>
          <w:rFonts w:hint="eastAsia" w:ascii="仿宋_GB2312" w:hAnsi="仿宋" w:eastAsia="仿宋_GB2312" w:cs="仿宋"/>
          <w:color w:val="auto"/>
          <w:sz w:val="32"/>
          <w:szCs w:val="32"/>
          <w:highlight w:val="none"/>
          <w:lang w:val="en-US" w:eastAsia="zh-CN"/>
        </w:rPr>
        <w:t>申报资料包括但不限于：身份证明、银行卡信息、学习经历证明、职称/技能等级/职业资格证明</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经所在工作单位或者退休前原单位盖章的</w:t>
      </w:r>
      <w:r>
        <w:rPr>
          <w:rFonts w:hint="eastAsia" w:ascii="仿宋_GB2312" w:hAnsi="仿宋" w:eastAsia="仿宋_GB2312" w:cs="仿宋"/>
          <w:color w:val="auto"/>
          <w:sz w:val="32"/>
          <w:szCs w:val="32"/>
          <w:highlight w:val="none"/>
        </w:rPr>
        <w:t>专家入库申请表</w:t>
      </w:r>
      <w:r>
        <w:rPr>
          <w:rFonts w:hint="eastAsia" w:ascii="仿宋_GB2312" w:hAnsi="仿宋" w:eastAsia="仿宋_GB2312" w:cs="仿宋"/>
          <w:color w:val="auto"/>
          <w:sz w:val="32"/>
          <w:szCs w:val="32"/>
          <w:highlight w:val="none"/>
          <w:lang w:val="en-US" w:eastAsia="zh-CN"/>
        </w:rPr>
        <w:t>、个人签署的评标专家承诺书等，并</w:t>
      </w:r>
      <w:r>
        <w:rPr>
          <w:rFonts w:hint="eastAsia" w:ascii="仿宋_GB2312" w:hAnsi="仿宋" w:eastAsia="仿宋_GB2312" w:cs="仿宋"/>
          <w:color w:val="auto"/>
          <w:sz w:val="32"/>
          <w:szCs w:val="32"/>
          <w:highlight w:val="none"/>
        </w:rPr>
        <w:t>根据学习</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工作经历，对照评标专家评审专业分类表</w:t>
      </w:r>
      <w:r>
        <w:rPr>
          <w:rFonts w:hint="eastAsia" w:ascii="仿宋_GB2312" w:hAnsi="仿宋" w:eastAsia="仿宋_GB2312" w:cs="仿宋"/>
          <w:bCs w:val="0"/>
          <w:color w:val="auto"/>
          <w:sz w:val="32"/>
          <w:szCs w:val="32"/>
          <w:highlight w:val="none"/>
          <w:lang w:val="en-US" w:eastAsia="zh-CN"/>
        </w:rPr>
        <w:t>申报</w:t>
      </w:r>
      <w:r>
        <w:rPr>
          <w:rFonts w:hint="eastAsia" w:ascii="仿宋_GB2312" w:hAnsi="仿宋" w:eastAsia="仿宋_GB2312" w:cs="仿宋"/>
          <w:color w:val="auto"/>
          <w:sz w:val="32"/>
          <w:szCs w:val="32"/>
          <w:highlight w:val="none"/>
          <w:lang w:val="en-US" w:eastAsia="zh-CN"/>
        </w:rPr>
        <w:t>专业。</w:t>
      </w:r>
    </w:p>
    <w:p>
      <w:pPr>
        <w:keepNext w:val="0"/>
        <w:keepLines w:val="0"/>
        <w:pageBreakBefore w:val="0"/>
        <w:numPr>
          <w:ilvl w:val="0"/>
          <w:numId w:val="0"/>
        </w:numPr>
        <w:tabs>
          <w:tab w:val="left" w:pos="0"/>
        </w:tabs>
        <w:kinsoku/>
        <w:wordWrap/>
        <w:overflowPunct/>
        <w:topLinePunct w:val="0"/>
        <w:autoSpaceDE/>
        <w:autoSpaceDN/>
        <w:bidi w:val="0"/>
        <w:snapToGrid/>
        <w:spacing w:line="560" w:lineRule="exact"/>
        <w:ind w:firstLine="640" w:firstLineChars="200"/>
        <w:jc w:val="left"/>
        <w:textAlignment w:val="auto"/>
        <w:rPr>
          <w:rFonts w:hint="eastAsia" w:ascii="仿宋_GB2312" w:hAnsi="仿宋" w:eastAsia="仿宋_GB2312" w:cs="仿宋"/>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第二十一条 </w:t>
      </w:r>
      <w:r>
        <w:rPr>
          <w:rFonts w:hint="eastAsia" w:ascii="仿宋_GB2312" w:hAnsi="仿宋" w:eastAsia="仿宋_GB2312" w:cs="仿宋"/>
          <w:color w:val="auto"/>
          <w:sz w:val="32"/>
          <w:szCs w:val="32"/>
          <w:highlight w:val="none"/>
          <w:lang w:val="en-US" w:eastAsia="zh-CN"/>
        </w:rPr>
        <w:t>申请入库及审核</w:t>
      </w:r>
      <w:r>
        <w:rPr>
          <w:rFonts w:hint="eastAsia" w:ascii="仿宋_GB2312" w:hAnsi="仿宋" w:eastAsia="仿宋_GB2312" w:cs="仿宋"/>
          <w:bCs w:val="0"/>
          <w:color w:val="auto"/>
          <w:sz w:val="32"/>
          <w:szCs w:val="32"/>
          <w:highlight w:val="none"/>
          <w:lang w:val="en-US" w:eastAsia="zh-CN"/>
        </w:rPr>
        <w:t>流程：对申请资料进行</w:t>
      </w:r>
      <w:r>
        <w:rPr>
          <w:rFonts w:hint="eastAsia" w:ascii="仿宋_GB2312" w:hAnsi="仿宋" w:eastAsia="仿宋_GB2312" w:cs="仿宋"/>
          <w:bCs w:val="0"/>
          <w:color w:val="auto"/>
          <w:sz w:val="32"/>
          <w:szCs w:val="32"/>
          <w:highlight w:val="none"/>
          <w:lang w:eastAsia="zh-CN"/>
        </w:rPr>
        <w:t>资格</w:t>
      </w:r>
      <w:r>
        <w:rPr>
          <w:rFonts w:hint="eastAsia" w:ascii="仿宋_GB2312" w:hAnsi="仿宋" w:eastAsia="仿宋_GB2312" w:cs="仿宋"/>
          <w:bCs w:val="0"/>
          <w:color w:val="auto"/>
          <w:sz w:val="32"/>
          <w:szCs w:val="32"/>
          <w:highlight w:val="none"/>
          <w:lang w:val="en-US" w:eastAsia="zh-CN"/>
        </w:rPr>
        <w:t>初审、资格复审，</w:t>
      </w:r>
      <w:r>
        <w:rPr>
          <w:rFonts w:hint="eastAsia" w:ascii="仿宋_GB2312" w:hAnsi="仿宋" w:eastAsia="仿宋_GB2312" w:cs="仿宋"/>
          <w:bCs w:val="0"/>
          <w:color w:val="auto"/>
          <w:sz w:val="32"/>
          <w:szCs w:val="32"/>
          <w:highlight w:val="none"/>
          <w:lang w:eastAsia="zh-CN"/>
        </w:rPr>
        <w:t>入库考试，并定期组织专业审核</w:t>
      </w:r>
      <w:r>
        <w:rPr>
          <w:rFonts w:hint="eastAsia" w:ascii="仿宋_GB2312" w:hAnsi="仿宋" w:eastAsia="仿宋_GB2312" w:cs="仿宋"/>
          <w:color w:val="auto"/>
          <w:sz w:val="32"/>
          <w:szCs w:val="32"/>
          <w:highlight w:val="none"/>
        </w:rPr>
        <w:t>。</w:t>
      </w:r>
    </w:p>
    <w:p>
      <w:pPr>
        <w:keepNext w:val="0"/>
        <w:keepLines w:val="0"/>
        <w:pageBreakBefore w:val="0"/>
        <w:numPr>
          <w:ilvl w:val="0"/>
          <w:numId w:val="0"/>
        </w:numPr>
        <w:tabs>
          <w:tab w:val="left" w:pos="0"/>
        </w:tabs>
        <w:kinsoku/>
        <w:wordWrap/>
        <w:overflowPunct/>
        <w:topLinePunct w:val="0"/>
        <w:autoSpaceDE/>
        <w:autoSpaceDN/>
        <w:bidi w:val="0"/>
        <w:snapToGrid/>
        <w:spacing w:line="560" w:lineRule="exact"/>
        <w:ind w:firstLine="640" w:firstLineChars="200"/>
        <w:jc w:val="left"/>
        <w:textAlignment w:val="auto"/>
        <w:rPr>
          <w:rFonts w:hint="eastAsia" w:ascii="仿宋_GB2312" w:hAnsi="仿宋" w:eastAsia="仿宋_GB2312" w:cs="仿宋"/>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第二十二条 </w:t>
      </w:r>
      <w:r>
        <w:rPr>
          <w:rFonts w:hint="eastAsia" w:ascii="仿宋_GB2312" w:hAnsi="仿宋" w:eastAsia="仿宋_GB2312" w:cs="仿宋"/>
          <w:color w:val="auto"/>
          <w:sz w:val="32"/>
          <w:szCs w:val="32"/>
          <w:highlight w:val="none"/>
        </w:rPr>
        <w:t>评标专家实行聘期制，</w:t>
      </w:r>
      <w:r>
        <w:rPr>
          <w:rFonts w:hint="eastAsia" w:ascii="仿宋_GB2312" w:hAnsi="仿宋" w:eastAsia="仿宋_GB2312" w:cs="仿宋"/>
          <w:color w:val="auto"/>
          <w:sz w:val="32"/>
          <w:szCs w:val="32"/>
          <w:highlight w:val="none"/>
          <w:lang w:val="en-US" w:eastAsia="zh-CN"/>
        </w:rPr>
        <w:t>聘期五年，</w:t>
      </w:r>
      <w:r>
        <w:rPr>
          <w:rFonts w:hint="eastAsia" w:ascii="仿宋_GB2312" w:hAnsi="仿宋" w:eastAsia="仿宋_GB2312" w:cs="仿宋"/>
          <w:color w:val="auto"/>
          <w:sz w:val="32"/>
          <w:szCs w:val="32"/>
          <w:highlight w:val="none"/>
        </w:rPr>
        <w:t>聘期届满自动解除聘任关系。评标专家可以在聘期届满前提出续聘申请，</w:t>
      </w:r>
      <w:r>
        <w:rPr>
          <w:rFonts w:hint="eastAsia" w:ascii="仿宋_GB2312" w:hAnsi="仿宋" w:eastAsia="仿宋_GB2312" w:cs="仿宋"/>
          <w:color w:val="auto"/>
          <w:sz w:val="32"/>
          <w:szCs w:val="32"/>
          <w:highlight w:val="none"/>
          <w:lang w:val="en-US" w:eastAsia="zh-CN"/>
        </w:rPr>
        <w:t>鞍钢招标</w:t>
      </w:r>
      <w:r>
        <w:rPr>
          <w:rFonts w:hint="eastAsia" w:ascii="仿宋_GB2312" w:hAnsi="仿宋" w:eastAsia="仿宋_GB2312" w:cs="仿宋"/>
          <w:color w:val="auto"/>
          <w:sz w:val="32"/>
          <w:szCs w:val="32"/>
          <w:highlight w:val="none"/>
        </w:rPr>
        <w:t>按照入库标准进行</w:t>
      </w:r>
      <w:r>
        <w:rPr>
          <w:rFonts w:hint="eastAsia" w:ascii="仿宋_GB2312" w:hAnsi="仿宋" w:eastAsia="仿宋_GB2312" w:cs="仿宋"/>
          <w:bCs w:val="0"/>
          <w:color w:val="auto"/>
          <w:sz w:val="32"/>
          <w:szCs w:val="32"/>
          <w:highlight w:val="none"/>
          <w:lang w:eastAsia="zh-CN"/>
        </w:rPr>
        <w:t>资格审查和入库</w:t>
      </w:r>
      <w:r>
        <w:rPr>
          <w:rFonts w:hint="eastAsia" w:ascii="仿宋_GB2312" w:hAnsi="仿宋" w:eastAsia="仿宋_GB2312" w:cs="仿宋"/>
          <w:color w:val="auto"/>
          <w:sz w:val="32"/>
          <w:szCs w:val="32"/>
          <w:highlight w:val="none"/>
          <w:lang w:val="en-US" w:eastAsia="zh-CN"/>
        </w:rPr>
        <w:t>考试，</w:t>
      </w:r>
      <w:r>
        <w:rPr>
          <w:rFonts w:hint="eastAsia" w:ascii="仿宋_GB2312" w:hAnsi="仿宋" w:eastAsia="仿宋_GB2312" w:cs="仿宋"/>
          <w:color w:val="auto"/>
          <w:sz w:val="32"/>
          <w:szCs w:val="32"/>
          <w:highlight w:val="none"/>
        </w:rPr>
        <w:t>决定是否继续聘任</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继续聘任的，原则上沿用原</w:t>
      </w:r>
      <w:r>
        <w:rPr>
          <w:rFonts w:hint="eastAsia" w:ascii="仿宋_GB2312" w:hAnsi="仿宋" w:eastAsia="仿宋_GB2312" w:cs="仿宋"/>
          <w:color w:val="auto"/>
          <w:sz w:val="32"/>
          <w:szCs w:val="32"/>
          <w:highlight w:val="none"/>
        </w:rPr>
        <w:t>审核通过的评审专业。</w:t>
      </w:r>
    </w:p>
    <w:p>
      <w:pPr>
        <w:keepNext w:val="0"/>
        <w:keepLines w:val="0"/>
        <w:pageBreakBefore w:val="0"/>
        <w:numPr>
          <w:ilvl w:val="0"/>
          <w:numId w:val="0"/>
        </w:numPr>
        <w:tabs>
          <w:tab w:val="left" w:pos="0"/>
        </w:tabs>
        <w:kinsoku/>
        <w:wordWrap/>
        <w:overflowPunct/>
        <w:topLinePunct w:val="0"/>
        <w:autoSpaceDE/>
        <w:autoSpaceDN/>
        <w:bidi w:val="0"/>
        <w:snapToGrid/>
        <w:spacing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 xml:space="preserve">第二十三条 </w:t>
      </w:r>
      <w:r>
        <w:rPr>
          <w:rFonts w:hint="eastAsia" w:ascii="仿宋_GB2312" w:hAnsi="仿宋" w:eastAsia="仿宋_GB2312" w:cs="仿宋"/>
          <w:bCs w:val="0"/>
          <w:color w:val="auto"/>
          <w:sz w:val="32"/>
          <w:szCs w:val="32"/>
          <w:highlight w:val="none"/>
          <w:lang w:val="en-US" w:eastAsia="zh-CN"/>
        </w:rPr>
        <w:t>下列情形聘期内正常解聘</w:t>
      </w:r>
      <w:r>
        <w:rPr>
          <w:rFonts w:hint="eastAsia" w:ascii="仿宋_GB2312" w:hAnsi="仿宋_GB2312" w:eastAsia="仿宋_GB2312" w:cs="仿宋_GB2312"/>
          <w:b w:val="0"/>
          <w:bCs/>
          <w:color w:val="auto"/>
          <w:sz w:val="32"/>
          <w:szCs w:val="32"/>
          <w:highlight w:val="none"/>
          <w:lang w:val="en-US" w:eastAsia="zh-CN"/>
        </w:rPr>
        <w:t>。</w:t>
      </w:r>
    </w:p>
    <w:p>
      <w:pPr>
        <w:keepNext w:val="0"/>
        <w:keepLines w:val="0"/>
        <w:pageBreakBefore w:val="0"/>
        <w:widowControl/>
        <w:shd w:val="clear"/>
        <w:kinsoku/>
        <w:wordWrap/>
        <w:overflowPunct/>
        <w:topLinePunct w:val="0"/>
        <w:autoSpaceDE/>
        <w:autoSpaceDN/>
        <w:bidi w:val="0"/>
        <w:adjustRightInd w:val="0"/>
        <w:snapToGrid/>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1.不再符合本办法规定的</w:t>
      </w:r>
      <w:r>
        <w:rPr>
          <w:rFonts w:hint="eastAsia" w:ascii="仿宋_GB2312" w:hAnsi="仿宋_GB2312" w:eastAsia="仿宋_GB2312" w:cs="仿宋_GB2312"/>
          <w:b w:val="0"/>
          <w:bCs/>
          <w:color w:val="auto"/>
          <w:sz w:val="32"/>
          <w:szCs w:val="32"/>
          <w:highlight w:val="none"/>
        </w:rPr>
        <w:t>评标专家</w:t>
      </w:r>
      <w:r>
        <w:rPr>
          <w:rFonts w:hint="eastAsia" w:ascii="仿宋_GB2312" w:hAnsi="仿宋_GB2312" w:eastAsia="仿宋_GB2312" w:cs="仿宋_GB2312"/>
          <w:b w:val="0"/>
          <w:bCs/>
          <w:color w:val="auto"/>
          <w:sz w:val="32"/>
          <w:szCs w:val="32"/>
          <w:highlight w:val="none"/>
          <w:lang w:val="en-US" w:eastAsia="zh-CN"/>
        </w:rPr>
        <w:t>基本要求</w:t>
      </w:r>
      <w:r>
        <w:rPr>
          <w:rFonts w:hint="eastAsia" w:ascii="仿宋_GB2312" w:hAnsi="仿宋_GB2312" w:eastAsia="仿宋_GB2312" w:cs="仿宋_GB2312"/>
          <w:b w:val="0"/>
          <w:bCs/>
          <w:color w:val="auto"/>
          <w:sz w:val="32"/>
          <w:szCs w:val="32"/>
          <w:highlight w:val="none"/>
        </w:rPr>
        <w:t>及选聘范围</w:t>
      </w:r>
      <w:r>
        <w:rPr>
          <w:rFonts w:hint="eastAsia" w:ascii="仿宋_GB2312" w:hAnsi="仿宋_GB2312" w:eastAsia="仿宋_GB2312" w:cs="仿宋_GB2312"/>
          <w:b w:val="0"/>
          <w:bCs/>
          <w:color w:val="auto"/>
          <w:sz w:val="32"/>
          <w:szCs w:val="32"/>
          <w:highlight w:val="none"/>
          <w:lang w:val="en-US" w:eastAsia="zh-CN"/>
        </w:rPr>
        <w:t>；</w:t>
      </w:r>
    </w:p>
    <w:p>
      <w:pPr>
        <w:keepNext w:val="0"/>
        <w:keepLines w:val="0"/>
        <w:pageBreakBefore w:val="0"/>
        <w:widowControl/>
        <w:shd w:val="clear"/>
        <w:kinsoku/>
        <w:wordWrap/>
        <w:overflowPunct/>
        <w:topLinePunct w:val="0"/>
        <w:autoSpaceDE/>
        <w:autoSpaceDN/>
        <w:bidi w:val="0"/>
        <w:adjustRightInd w:val="0"/>
        <w:snapToGrid/>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2.因工作调动或身体健康原因，不再适合担任评标专家；</w:t>
      </w:r>
    </w:p>
    <w:p>
      <w:pPr>
        <w:keepNext w:val="0"/>
        <w:keepLines w:val="0"/>
        <w:pageBreakBefore w:val="0"/>
        <w:widowControl w:val="0"/>
        <w:shd w:val="clear"/>
        <w:kinsoku/>
        <w:wordWrap/>
        <w:overflowPunct/>
        <w:topLinePunct w:val="0"/>
        <w:autoSpaceDE/>
        <w:autoSpaceDN/>
        <w:bidi w:val="0"/>
        <w:adjustRightInd w:val="0"/>
        <w:snapToGrid/>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3.本人书面提出申请，不再担任评标专家。</w:t>
      </w:r>
    </w:p>
    <w:p>
      <w:pPr>
        <w:keepNext w:val="0"/>
        <w:keepLines w:val="0"/>
        <w:pageBreakBefore w:val="0"/>
        <w:numPr>
          <w:ilvl w:val="0"/>
          <w:numId w:val="0"/>
        </w:numPr>
        <w:tabs>
          <w:tab w:val="left" w:pos="0"/>
        </w:tabs>
        <w:kinsoku/>
        <w:wordWrap/>
        <w:overflowPunct/>
        <w:topLinePunct w:val="0"/>
        <w:autoSpaceDE/>
        <w:autoSpaceDN/>
        <w:bidi w:val="0"/>
        <w:snapToGrid/>
        <w:spacing w:line="560" w:lineRule="exact"/>
        <w:ind w:firstLine="640" w:firstLineChars="200"/>
        <w:jc w:val="left"/>
        <w:textAlignment w:val="auto"/>
        <w:rPr>
          <w:rFonts w:ascii="仿宋_GB2312" w:hAnsi="仿宋" w:eastAsia="仿宋_GB2312" w:cs="Times New Roman"/>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第二十四条 </w:t>
      </w:r>
      <w:r>
        <w:rPr>
          <w:rFonts w:hint="eastAsia" w:ascii="仿宋_GB2312" w:hAnsi="仿宋" w:eastAsia="仿宋_GB2312" w:cs="仿宋"/>
          <w:color w:val="auto"/>
          <w:sz w:val="32"/>
          <w:szCs w:val="32"/>
          <w:highlight w:val="none"/>
        </w:rPr>
        <w:t>当评标专家信息发生变化时，相关单位或个人应及时申请信息更</w:t>
      </w:r>
      <w:r>
        <w:rPr>
          <w:rFonts w:hint="eastAsia" w:ascii="仿宋_GB2312" w:hAnsi="仿宋" w:eastAsia="仿宋_GB2312" w:cs="仿宋"/>
          <w:color w:val="auto"/>
          <w:sz w:val="32"/>
          <w:szCs w:val="32"/>
          <w:highlight w:val="none"/>
          <w:lang w:val="en-US" w:eastAsia="zh-CN"/>
        </w:rPr>
        <w:t>新</w:t>
      </w:r>
      <w:r>
        <w:rPr>
          <w:rFonts w:hint="eastAsia" w:ascii="仿宋_GB2312" w:hAnsi="仿宋" w:eastAsia="仿宋_GB2312" w:cs="仿宋"/>
          <w:color w:val="auto"/>
          <w:sz w:val="32"/>
          <w:szCs w:val="32"/>
          <w:highlight w:val="none"/>
        </w:rPr>
        <w:t>并附证明材料。</w:t>
      </w:r>
    </w:p>
    <w:p>
      <w:pPr>
        <w:numPr>
          <w:ilvl w:val="0"/>
          <w:numId w:val="0"/>
        </w:numPr>
        <w:tabs>
          <w:tab w:val="left" w:pos="0"/>
        </w:tabs>
        <w:spacing w:line="560" w:lineRule="exact"/>
        <w:ind w:firstLine="640" w:firstLineChars="200"/>
        <w:jc w:val="left"/>
        <w:rPr>
          <w:rFonts w:ascii="仿宋_GB2312" w:hAnsi="仿宋" w:eastAsia="仿宋_GB2312" w:cs="仿宋"/>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第二十九条 </w:t>
      </w:r>
      <w:r>
        <w:rPr>
          <w:rFonts w:hint="eastAsia" w:ascii="仿宋_GB2312" w:hAnsi="仿宋" w:eastAsia="仿宋_GB2312" w:cs="仿宋"/>
          <w:color w:val="auto"/>
          <w:sz w:val="32"/>
          <w:szCs w:val="32"/>
          <w:highlight w:val="none"/>
        </w:rPr>
        <w:t>评标专家</w:t>
      </w:r>
      <w:r>
        <w:rPr>
          <w:rFonts w:hint="eastAsia" w:ascii="仿宋_GB2312" w:hAnsi="仿宋" w:eastAsia="仿宋_GB2312" w:cs="仿宋"/>
          <w:color w:val="auto"/>
          <w:sz w:val="32"/>
          <w:szCs w:val="32"/>
          <w:highlight w:val="none"/>
          <w:lang w:val="en-US" w:eastAsia="zh-CN"/>
        </w:rPr>
        <w:t>有</w:t>
      </w:r>
      <w:r>
        <w:rPr>
          <w:rFonts w:hint="eastAsia" w:ascii="仿宋_GB2312" w:hAnsi="仿宋" w:eastAsia="仿宋_GB2312" w:cs="仿宋"/>
          <w:color w:val="auto"/>
          <w:sz w:val="32"/>
          <w:szCs w:val="32"/>
          <w:highlight w:val="none"/>
        </w:rPr>
        <w:t>下列情形之一的，应</w:t>
      </w:r>
      <w:r>
        <w:rPr>
          <w:rFonts w:hint="eastAsia" w:ascii="仿宋_GB2312" w:hAnsi="仿宋" w:eastAsia="仿宋_GB2312" w:cs="仿宋"/>
          <w:color w:val="auto"/>
          <w:sz w:val="32"/>
          <w:szCs w:val="32"/>
          <w:highlight w:val="none"/>
          <w:lang w:val="en-US" w:eastAsia="zh-CN"/>
        </w:rPr>
        <w:t>当</w:t>
      </w:r>
      <w:r>
        <w:rPr>
          <w:rFonts w:hint="eastAsia" w:ascii="仿宋_GB2312" w:hAnsi="仿宋" w:eastAsia="仿宋_GB2312" w:cs="仿宋"/>
          <w:color w:val="auto"/>
          <w:sz w:val="32"/>
          <w:szCs w:val="32"/>
          <w:highlight w:val="none"/>
        </w:rPr>
        <w:t>主动提出回避，不得担任评标</w:t>
      </w:r>
      <w:r>
        <w:rPr>
          <w:rFonts w:hint="eastAsia" w:ascii="仿宋_GB2312" w:hAnsi="仿宋" w:eastAsia="仿宋_GB2312" w:cs="仿宋"/>
          <w:color w:val="auto"/>
          <w:sz w:val="32"/>
          <w:szCs w:val="32"/>
          <w:highlight w:val="none"/>
          <w:lang w:val="en-US" w:eastAsia="zh-CN"/>
        </w:rPr>
        <w:t>/评审</w:t>
      </w:r>
      <w:r>
        <w:rPr>
          <w:rFonts w:hint="eastAsia" w:ascii="仿宋_GB2312" w:hAnsi="仿宋" w:eastAsia="仿宋_GB2312" w:cs="仿宋"/>
          <w:color w:val="auto"/>
          <w:sz w:val="32"/>
          <w:szCs w:val="32"/>
          <w:highlight w:val="none"/>
        </w:rPr>
        <w:t>委员会成员：</w:t>
      </w:r>
    </w:p>
    <w:p>
      <w:pPr>
        <w:numPr>
          <w:ilvl w:val="0"/>
          <w:numId w:val="1"/>
        </w:num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与投标</w:t>
      </w:r>
      <w:r>
        <w:rPr>
          <w:rFonts w:hint="eastAsia" w:ascii="仿宋_GB2312" w:hAnsi="仿宋" w:eastAsia="仿宋_GB2312" w:cs="仿宋"/>
          <w:color w:val="auto"/>
          <w:sz w:val="32"/>
          <w:szCs w:val="32"/>
          <w:highlight w:val="none"/>
          <w:lang w:val="en-US" w:eastAsia="zh-CN"/>
        </w:rPr>
        <w:t>人</w:t>
      </w:r>
      <w:r>
        <w:rPr>
          <w:rFonts w:hint="eastAsia" w:ascii="仿宋_GB2312" w:hAnsi="仿宋" w:eastAsia="仿宋_GB2312" w:cs="仿宋"/>
          <w:color w:val="auto"/>
          <w:sz w:val="32"/>
          <w:szCs w:val="32"/>
          <w:highlight w:val="none"/>
        </w:rPr>
        <w:t>或其主要负责人存在近亲属关系的；</w:t>
      </w:r>
    </w:p>
    <w:p>
      <w:pPr>
        <w:numPr>
          <w:ilvl w:val="0"/>
          <w:numId w:val="1"/>
        </w:num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lang w:val="en-US" w:eastAsia="zh-CN"/>
        </w:rPr>
        <w:t>招标采购</w:t>
      </w:r>
      <w:r>
        <w:rPr>
          <w:rFonts w:hint="eastAsia" w:ascii="仿宋_GB2312" w:hAnsi="仿宋" w:eastAsia="仿宋_GB2312" w:cs="仿宋"/>
          <w:color w:val="auto"/>
          <w:sz w:val="32"/>
          <w:szCs w:val="32"/>
          <w:highlight w:val="none"/>
        </w:rPr>
        <w:t>项目主管部门或者监督部门</w:t>
      </w:r>
      <w:r>
        <w:rPr>
          <w:rFonts w:hint="eastAsia" w:ascii="仿宋_GB2312" w:hAnsi="仿宋" w:eastAsia="仿宋_GB2312" w:cs="仿宋"/>
          <w:color w:val="auto"/>
          <w:sz w:val="32"/>
          <w:szCs w:val="32"/>
          <w:highlight w:val="none"/>
          <w:lang w:val="en-US" w:eastAsia="zh-CN"/>
        </w:rPr>
        <w:t>的</w:t>
      </w:r>
      <w:r>
        <w:rPr>
          <w:rFonts w:hint="eastAsia" w:ascii="仿宋_GB2312" w:hAnsi="仿宋" w:eastAsia="仿宋_GB2312" w:cs="仿宋"/>
          <w:color w:val="auto"/>
          <w:sz w:val="32"/>
          <w:szCs w:val="32"/>
          <w:highlight w:val="none"/>
        </w:rPr>
        <w:t>人员；</w:t>
      </w:r>
    </w:p>
    <w:p>
      <w:pPr>
        <w:numPr>
          <w:ilvl w:val="0"/>
          <w:numId w:val="1"/>
        </w:num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与投标</w:t>
      </w:r>
      <w:r>
        <w:rPr>
          <w:rFonts w:hint="eastAsia" w:ascii="仿宋_GB2312" w:hAnsi="仿宋" w:eastAsia="仿宋_GB2312" w:cs="仿宋"/>
          <w:color w:val="auto"/>
          <w:sz w:val="32"/>
          <w:szCs w:val="32"/>
          <w:highlight w:val="none"/>
          <w:lang w:val="en-US" w:eastAsia="zh-CN"/>
        </w:rPr>
        <w:t>人</w:t>
      </w:r>
      <w:r>
        <w:rPr>
          <w:rFonts w:hint="eastAsia" w:ascii="仿宋_GB2312" w:hAnsi="仿宋" w:eastAsia="仿宋_GB2312" w:cs="仿宋"/>
          <w:color w:val="auto"/>
          <w:sz w:val="32"/>
          <w:szCs w:val="32"/>
          <w:highlight w:val="none"/>
        </w:rPr>
        <w:t>有经济利益关系</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可能影响对投标公正评审的</w:t>
      </w:r>
      <w:r>
        <w:rPr>
          <w:rFonts w:hint="eastAsia" w:ascii="仿宋_GB2312" w:hAnsi="仿宋" w:eastAsia="仿宋_GB2312" w:cs="仿宋"/>
          <w:color w:val="auto"/>
          <w:sz w:val="32"/>
          <w:szCs w:val="32"/>
          <w:highlight w:val="none"/>
          <w:lang w:eastAsia="zh-CN"/>
        </w:rPr>
        <w:t>；</w:t>
      </w:r>
    </w:p>
    <w:p>
      <w:pPr>
        <w:numPr>
          <w:ilvl w:val="0"/>
          <w:numId w:val="1"/>
        </w:numPr>
        <w:spacing w:line="560" w:lineRule="exact"/>
        <w:ind w:firstLine="640" w:firstLineChars="200"/>
        <w:rPr>
          <w:rFonts w:hint="eastAsia" w:ascii="仿宋_GB2312" w:hAnsi="仿宋" w:eastAsia="仿宋_GB2312" w:cs="仿宋"/>
          <w:bCs/>
          <w:color w:val="auto"/>
          <w:sz w:val="32"/>
          <w:szCs w:val="32"/>
          <w:highlight w:val="none"/>
        </w:rPr>
      </w:pPr>
      <w:r>
        <w:rPr>
          <w:rFonts w:hint="eastAsia" w:ascii="仿宋_GB2312" w:eastAsia="仿宋_GB2312"/>
          <w:b w:val="0"/>
          <w:bCs/>
          <w:sz w:val="32"/>
          <w:szCs w:val="32"/>
          <w:highlight w:val="none"/>
        </w:rPr>
        <w:t>曾因在招标、评标以及其他与招标投标有关活动中从事违法行为而受过行政处罚或刑事处罚的</w:t>
      </w:r>
      <w:r>
        <w:rPr>
          <w:rFonts w:hint="eastAsia" w:ascii="仿宋_GB2312" w:eastAsia="仿宋_GB2312"/>
          <w:b w:val="0"/>
          <w:bCs/>
          <w:sz w:val="32"/>
          <w:szCs w:val="32"/>
          <w:highlight w:val="none"/>
          <w:lang w:eastAsia="zh-CN"/>
        </w:rPr>
        <w:t>；</w:t>
      </w:r>
    </w:p>
    <w:p>
      <w:pPr>
        <w:numPr>
          <w:ilvl w:val="0"/>
          <w:numId w:val="1"/>
        </w:num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lang w:val="en-US" w:eastAsia="zh-CN"/>
        </w:rPr>
        <w:t>其他</w:t>
      </w:r>
      <w:r>
        <w:rPr>
          <w:rFonts w:hint="eastAsia" w:ascii="仿宋_GB2312" w:hAnsi="仿宋" w:eastAsia="仿宋_GB2312" w:cs="仿宋"/>
          <w:color w:val="auto"/>
          <w:sz w:val="32"/>
          <w:szCs w:val="32"/>
          <w:highlight w:val="none"/>
        </w:rPr>
        <w:t>可能影响评审公正性的</w:t>
      </w:r>
      <w:r>
        <w:rPr>
          <w:rFonts w:hint="eastAsia" w:ascii="仿宋_GB2312" w:hAnsi="仿宋" w:eastAsia="仿宋_GB2312" w:cs="仿宋"/>
          <w:color w:val="auto"/>
          <w:sz w:val="32"/>
          <w:szCs w:val="32"/>
          <w:highlight w:val="none"/>
          <w:lang w:val="en-US" w:eastAsia="zh-CN"/>
        </w:rPr>
        <w:t>关联关系</w:t>
      </w:r>
      <w:r>
        <w:rPr>
          <w:rFonts w:hint="eastAsia" w:ascii="仿宋_GB2312" w:hAnsi="仿宋" w:eastAsia="仿宋_GB2312" w:cs="仿宋"/>
          <w:color w:val="auto"/>
          <w:sz w:val="32"/>
          <w:szCs w:val="32"/>
          <w:highlight w:val="none"/>
          <w:lang w:eastAsia="zh-CN"/>
        </w:rPr>
        <w:t>。</w:t>
      </w:r>
    </w:p>
    <w:p>
      <w:pPr>
        <w:numPr>
          <w:ilvl w:val="0"/>
          <w:numId w:val="0"/>
        </w:numP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违反上述规定</w:t>
      </w:r>
      <w:r>
        <w:rPr>
          <w:rFonts w:hint="eastAsia" w:ascii="仿宋_GB2312" w:hAnsi="仿宋" w:eastAsia="仿宋_GB2312" w:cs="仿宋"/>
          <w:color w:val="auto"/>
          <w:sz w:val="32"/>
          <w:szCs w:val="32"/>
          <w:highlight w:val="none"/>
          <w:lang w:eastAsia="zh-CN"/>
        </w:rPr>
        <w:t>的</w:t>
      </w:r>
      <w:r>
        <w:rPr>
          <w:rFonts w:hint="eastAsia" w:ascii="仿宋_GB2312" w:hAnsi="仿宋" w:eastAsia="仿宋_GB2312" w:cs="仿宋"/>
          <w:color w:val="auto"/>
          <w:sz w:val="32"/>
          <w:szCs w:val="32"/>
          <w:highlight w:val="none"/>
        </w:rPr>
        <w:t>，一经发现，立即终止其</w:t>
      </w:r>
      <w:r>
        <w:rPr>
          <w:rFonts w:hint="eastAsia" w:ascii="仿宋_GB2312" w:hAnsi="仿宋" w:eastAsia="仿宋_GB2312" w:cs="仿宋"/>
          <w:color w:val="auto"/>
          <w:sz w:val="32"/>
          <w:szCs w:val="32"/>
          <w:highlight w:val="none"/>
          <w:lang w:val="en-US" w:eastAsia="zh-CN"/>
        </w:rPr>
        <w:t>本次</w:t>
      </w:r>
      <w:r>
        <w:rPr>
          <w:rFonts w:hint="eastAsia" w:ascii="仿宋_GB2312" w:hAnsi="仿宋" w:eastAsia="仿宋_GB2312" w:cs="仿宋"/>
          <w:color w:val="auto"/>
          <w:sz w:val="32"/>
          <w:szCs w:val="32"/>
          <w:highlight w:val="none"/>
        </w:rPr>
        <w:t>评标活动，</w:t>
      </w:r>
      <w:r>
        <w:rPr>
          <w:rFonts w:hint="eastAsia" w:ascii="仿宋_GB2312" w:hAnsi="仿宋" w:eastAsia="仿宋_GB2312" w:cs="仿宋"/>
          <w:color w:val="auto"/>
          <w:sz w:val="32"/>
          <w:szCs w:val="32"/>
          <w:highlight w:val="none"/>
          <w:lang w:val="en-US" w:eastAsia="zh-CN"/>
        </w:rPr>
        <w:t>记录履职评价档案</w:t>
      </w:r>
      <w:r>
        <w:rPr>
          <w:rFonts w:hint="eastAsia" w:ascii="仿宋_GB2312" w:hAnsi="仿宋" w:eastAsia="仿宋_GB2312" w:cs="仿宋"/>
          <w:color w:val="auto"/>
          <w:sz w:val="32"/>
          <w:szCs w:val="32"/>
          <w:highlight w:val="none"/>
        </w:rPr>
        <w:t>。</w:t>
      </w:r>
    </w:p>
    <w:p>
      <w:pPr>
        <w:spacing w:line="560" w:lineRule="exact"/>
        <w:ind w:firstLine="640" w:firstLineChars="200"/>
        <w:rPr>
          <w:rFonts w:ascii="仿宋_GB2312" w:hAnsi="仿宋" w:eastAsia="仿宋_GB2312" w:cs="Times New Roman"/>
          <w:color w:val="auto"/>
          <w:sz w:val="32"/>
          <w:szCs w:val="32"/>
          <w:highlight w:val="none"/>
        </w:rPr>
      </w:pPr>
    </w:p>
    <w:p>
      <w:pPr>
        <w:spacing w:line="560" w:lineRule="exact"/>
        <w:jc w:val="center"/>
        <w:rPr>
          <w:rFonts w:hint="default" w:ascii="宋体" w:hAnsi="宋体" w:eastAsia="宋体" w:cs="仿宋"/>
          <w:b/>
          <w:bCs/>
          <w:color w:val="auto"/>
          <w:sz w:val="32"/>
          <w:szCs w:val="32"/>
          <w:highlight w:val="none"/>
          <w:lang w:val="en-US" w:eastAsia="zh-CN"/>
        </w:rPr>
      </w:pPr>
      <w:r>
        <w:rPr>
          <w:rFonts w:hint="eastAsia" w:ascii="宋体" w:hAnsi="宋体" w:cs="仿宋"/>
          <w:b/>
          <w:bCs/>
          <w:color w:val="auto"/>
          <w:sz w:val="32"/>
          <w:szCs w:val="32"/>
          <w:highlight w:val="none"/>
        </w:rPr>
        <w:t>第</w:t>
      </w:r>
      <w:r>
        <w:rPr>
          <w:rFonts w:hint="eastAsia" w:ascii="宋体" w:hAnsi="宋体" w:cs="仿宋"/>
          <w:b/>
          <w:bCs/>
          <w:color w:val="auto"/>
          <w:sz w:val="32"/>
          <w:szCs w:val="32"/>
          <w:highlight w:val="none"/>
          <w:lang w:val="en-US" w:eastAsia="zh-CN"/>
        </w:rPr>
        <w:t>六</w:t>
      </w:r>
      <w:r>
        <w:rPr>
          <w:rFonts w:hint="eastAsia" w:ascii="宋体" w:hAnsi="宋体" w:cs="仿宋"/>
          <w:b/>
          <w:bCs/>
          <w:color w:val="auto"/>
          <w:sz w:val="32"/>
          <w:szCs w:val="32"/>
          <w:highlight w:val="none"/>
        </w:rPr>
        <w:t xml:space="preserve">章  </w:t>
      </w:r>
      <w:r>
        <w:rPr>
          <w:rFonts w:hint="eastAsia" w:ascii="宋体" w:hAnsi="宋体" w:cs="仿宋"/>
          <w:b/>
          <w:bCs/>
          <w:color w:val="auto"/>
          <w:sz w:val="32"/>
          <w:szCs w:val="32"/>
          <w:highlight w:val="none"/>
          <w:lang w:val="en-US" w:eastAsia="zh-CN"/>
        </w:rPr>
        <w:t>评价与处罚</w:t>
      </w:r>
    </w:p>
    <w:p>
      <w:pPr>
        <w:spacing w:line="560" w:lineRule="exact"/>
        <w:ind w:firstLine="640" w:firstLineChars="200"/>
        <w:rPr>
          <w:rFonts w:ascii="仿宋_GB2312" w:hAnsi="仿宋" w:eastAsia="仿宋_GB2312" w:cs="Times New Roman"/>
          <w:color w:val="auto"/>
          <w:sz w:val="32"/>
          <w:szCs w:val="32"/>
          <w:highlight w:val="none"/>
        </w:rPr>
      </w:pPr>
    </w:p>
    <w:p>
      <w:pPr>
        <w:numPr>
          <w:ilvl w:val="0"/>
          <w:numId w:val="0"/>
        </w:numPr>
        <w:shd w:val="clear"/>
        <w:tabs>
          <w:tab w:val="left" w:pos="0"/>
        </w:tabs>
        <w:spacing w:line="560" w:lineRule="exact"/>
        <w:ind w:firstLine="640" w:firstLineChars="200"/>
        <w:jc w:val="left"/>
        <w:rPr>
          <w:rFonts w:hint="eastAsia" w:ascii="仿宋_GB2312" w:hAnsi="仿宋" w:eastAsia="仿宋_GB2312" w:cs="仿宋"/>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 xml:space="preserve">第三十条 </w:t>
      </w:r>
      <w:r>
        <w:rPr>
          <w:rFonts w:hint="eastAsia" w:ascii="仿宋_GB2312" w:hAnsi="仿宋" w:eastAsia="仿宋_GB2312" w:cs="Times New Roman"/>
          <w:color w:val="auto"/>
          <w:sz w:val="32"/>
          <w:szCs w:val="32"/>
          <w:highlight w:val="none"/>
          <w:lang w:val="en-US" w:eastAsia="zh-CN"/>
        </w:rPr>
        <w:t>评标专家</w:t>
      </w:r>
      <w:r>
        <w:rPr>
          <w:rFonts w:hint="eastAsia" w:ascii="仿宋_GB2312" w:hAnsi="仿宋" w:eastAsia="仿宋_GB2312" w:cs="仿宋"/>
          <w:color w:val="auto"/>
          <w:sz w:val="32"/>
          <w:szCs w:val="32"/>
          <w:highlight w:val="none"/>
          <w:lang w:val="en-US" w:eastAsia="zh-CN"/>
        </w:rPr>
        <w:t>评价内容包括考勤、履职、自主学习、培训考试和遵纪守法等方面内容，</w:t>
      </w:r>
      <w:r>
        <w:rPr>
          <w:rFonts w:hint="eastAsia" w:ascii="仿宋_GB2312" w:hAnsi="仿宋" w:eastAsia="仿宋_GB2312" w:cs="Times New Roman"/>
          <w:color w:val="auto"/>
          <w:sz w:val="32"/>
          <w:szCs w:val="32"/>
          <w:highlight w:val="none"/>
          <w:lang w:val="en-US" w:eastAsia="zh-CN"/>
        </w:rPr>
        <w:t>评价结果作为专家动态管理的重要依据</w:t>
      </w:r>
      <w:r>
        <w:rPr>
          <w:rFonts w:hint="eastAsia" w:ascii="仿宋_GB2312" w:hAnsi="仿宋" w:eastAsia="仿宋_GB2312" w:cs="仿宋"/>
          <w:color w:val="auto"/>
          <w:sz w:val="32"/>
          <w:szCs w:val="32"/>
          <w:highlight w:val="none"/>
          <w:lang w:val="en-US" w:eastAsia="zh-CN"/>
        </w:rPr>
        <w:t>。</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 xml:space="preserve">第三十一条 </w:t>
      </w:r>
      <w:r>
        <w:rPr>
          <w:rFonts w:hint="eastAsia" w:ascii="仿宋_GB2312" w:hAnsi="仿宋_GB2312" w:eastAsia="仿宋_GB2312" w:cs="仿宋_GB2312"/>
          <w:b w:val="0"/>
          <w:bCs/>
          <w:color w:val="auto"/>
          <w:sz w:val="32"/>
          <w:szCs w:val="32"/>
          <w:highlight w:val="none"/>
          <w:lang w:val="en-US" w:eastAsia="zh-CN"/>
        </w:rPr>
        <w:t>对评标专家的处罚包括：年度评价扣分、扣减或不支付评审费、暂停专家资格一年、解除专家资格、移交纪检监察司法机</w:t>
      </w:r>
      <w:r>
        <w:rPr>
          <w:rFonts w:hint="eastAsia" w:ascii="仿宋_GB2312" w:hAnsi="仿宋" w:eastAsia="仿宋_GB2312" w:cs="仿宋"/>
          <w:color w:val="auto"/>
          <w:sz w:val="32"/>
          <w:szCs w:val="32"/>
          <w:highlight w:val="none"/>
          <w:lang w:val="en-US" w:eastAsia="zh-CN"/>
        </w:rPr>
        <w:t>关处理等。</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 xml:space="preserve">第三十二条 </w:t>
      </w:r>
      <w:r>
        <w:rPr>
          <w:rFonts w:hint="eastAsia" w:ascii="仿宋_GB2312" w:hAnsi="仿宋" w:eastAsia="仿宋_GB2312" w:cs="仿宋"/>
          <w:color w:val="auto"/>
          <w:sz w:val="32"/>
          <w:szCs w:val="32"/>
          <w:highlight w:val="none"/>
          <w:lang w:val="en-US" w:eastAsia="zh-CN"/>
        </w:rPr>
        <w:t>年度评价扣分，具体见附件《评标专家年度评价计分考核细则》</w:t>
      </w:r>
      <w:r>
        <w:rPr>
          <w:rFonts w:hint="eastAsia" w:ascii="仿宋_GB2312" w:hAnsi="仿宋_GB2312" w:eastAsia="仿宋_GB2312" w:cs="仿宋_GB2312"/>
          <w:b w:val="0"/>
          <w:bCs/>
          <w:color w:val="auto"/>
          <w:sz w:val="32"/>
          <w:szCs w:val="32"/>
          <w:highlight w:val="none"/>
          <w:lang w:val="en-US" w:eastAsia="zh-CN"/>
        </w:rPr>
        <w:t>。</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kern w:val="0"/>
          <w:sz w:val="32"/>
          <w:szCs w:val="32"/>
          <w:highlight w:val="none"/>
          <w:lang w:val="en-US" w:eastAsia="zh-CN" w:bidi="ar-SA"/>
        </w:rPr>
      </w:pPr>
      <w:r>
        <w:rPr>
          <w:rFonts w:hint="eastAsia" w:ascii="黑体" w:hAnsi="黑体" w:eastAsia="黑体" w:cs="黑体"/>
          <w:b w:val="0"/>
          <w:bCs w:val="0"/>
          <w:color w:val="auto"/>
          <w:sz w:val="32"/>
          <w:szCs w:val="32"/>
          <w:highlight w:val="none"/>
          <w:lang w:val="en-US" w:eastAsia="zh-CN"/>
        </w:rPr>
        <w:t xml:space="preserve">第三十三条 </w:t>
      </w:r>
      <w:r>
        <w:rPr>
          <w:rFonts w:hint="eastAsia" w:ascii="仿宋_GB2312" w:hAnsi="仿宋_GB2312" w:eastAsia="仿宋_GB2312" w:cs="仿宋_GB2312"/>
          <w:b w:val="0"/>
          <w:bCs/>
          <w:color w:val="auto"/>
          <w:kern w:val="0"/>
          <w:sz w:val="32"/>
          <w:szCs w:val="32"/>
          <w:highlight w:val="none"/>
          <w:lang w:val="en-US" w:eastAsia="zh-CN" w:bidi="ar-SA"/>
        </w:rPr>
        <w:t>存在下列情形之一的，扣减或不支付评审费</w:t>
      </w:r>
      <w:r>
        <w:rPr>
          <w:rFonts w:hint="eastAsia" w:ascii="仿宋_GB2312" w:hAnsi="仿宋_GB2312" w:eastAsia="仿宋_GB2312" w:cs="仿宋_GB2312"/>
          <w:b w:val="0"/>
          <w:bCs/>
          <w:color w:val="auto"/>
          <w:sz w:val="32"/>
          <w:szCs w:val="32"/>
          <w:highlight w:val="none"/>
          <w:lang w:val="en-US" w:eastAsia="zh-CN"/>
        </w:rPr>
        <w:t>。</w:t>
      </w:r>
    </w:p>
    <w:p>
      <w:pPr>
        <w:widowControl w:val="0"/>
        <w:shd w:val="clear"/>
        <w:tabs>
          <w:tab w:val="left" w:pos="5940"/>
        </w:tabs>
        <w:spacing w:before="0" w:beforeAutospacing="0" w:after="0" w:afterAutospacing="0" w:line="560" w:lineRule="exact"/>
        <w:ind w:firstLine="640" w:firstLineChars="200"/>
        <w:jc w:val="both"/>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（一）迟到10分钟以上，扣减当次评审费50元；</w:t>
      </w:r>
    </w:p>
    <w:p>
      <w:pPr>
        <w:widowControl w:val="0"/>
        <w:shd w:val="clear"/>
        <w:tabs>
          <w:tab w:val="left" w:pos="5940"/>
        </w:tabs>
        <w:spacing w:before="0" w:beforeAutospacing="0" w:after="0" w:afterAutospacing="0" w:line="560" w:lineRule="exact"/>
        <w:ind w:firstLine="640" w:firstLineChars="200"/>
        <w:jc w:val="both"/>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（二）未完成评审</w:t>
      </w:r>
      <w:bookmarkStart w:id="0" w:name="_GoBack"/>
      <w:bookmarkEnd w:id="0"/>
      <w:r>
        <w:rPr>
          <w:rFonts w:hint="eastAsia" w:ascii="仿宋_GB2312" w:hAnsi="仿宋_GB2312" w:eastAsia="仿宋_GB2312" w:cs="仿宋_GB2312"/>
          <w:b w:val="0"/>
          <w:bCs/>
          <w:color w:val="auto"/>
          <w:kern w:val="0"/>
          <w:sz w:val="32"/>
          <w:szCs w:val="32"/>
          <w:highlight w:val="none"/>
          <w:lang w:val="en-US" w:eastAsia="zh-CN" w:bidi="ar-SA"/>
        </w:rPr>
        <w:t>工作的，不支付当次评审费；</w:t>
      </w:r>
    </w:p>
    <w:p>
      <w:pPr>
        <w:widowControl w:val="0"/>
        <w:shd w:val="clear"/>
        <w:tabs>
          <w:tab w:val="left" w:pos="5940"/>
        </w:tabs>
        <w:spacing w:before="0" w:beforeAutospacing="0" w:after="0" w:afterAutospacing="0" w:line="560" w:lineRule="exact"/>
        <w:ind w:firstLine="640" w:firstLineChars="200"/>
        <w:jc w:val="both"/>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（三）不按照规定进行评审，被发现后拒不纠正的，不支付当次评审费；</w:t>
      </w:r>
    </w:p>
    <w:p>
      <w:pPr>
        <w:widowControl w:val="0"/>
        <w:shd w:val="clear"/>
        <w:tabs>
          <w:tab w:val="left" w:pos="5940"/>
        </w:tabs>
        <w:spacing w:before="0" w:beforeAutospacing="0" w:after="0" w:afterAutospacing="0" w:line="560" w:lineRule="exact"/>
        <w:ind w:firstLine="640" w:firstLineChars="200"/>
        <w:jc w:val="both"/>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（四）评审结束后，拒不按照规定签署评审意见的，不支付当次评审费;</w:t>
      </w:r>
    </w:p>
    <w:p>
      <w:pPr>
        <w:widowControl w:val="0"/>
        <w:shd w:val="clear"/>
        <w:tabs>
          <w:tab w:val="left" w:pos="5940"/>
        </w:tabs>
        <w:spacing w:before="0" w:beforeAutospacing="0" w:after="0" w:afterAutospacing="0" w:line="560" w:lineRule="exact"/>
        <w:ind w:firstLine="640" w:firstLineChars="200"/>
        <w:jc w:val="both"/>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bidi="ar-SA"/>
        </w:rPr>
        <w:t>（五）为修正评审错误而组织的复议，不支付当次复议评审费。</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 xml:space="preserve">第三十四条 </w:t>
      </w:r>
      <w:r>
        <w:rPr>
          <w:rFonts w:hint="eastAsia" w:ascii="仿宋_GB2312" w:hAnsi="仿宋_GB2312" w:eastAsia="仿宋_GB2312" w:cs="仿宋_GB2312"/>
          <w:b w:val="0"/>
          <w:bCs/>
          <w:color w:val="auto"/>
          <w:sz w:val="32"/>
          <w:szCs w:val="32"/>
          <w:highlight w:val="none"/>
          <w:lang w:val="en-US" w:eastAsia="zh-CN"/>
        </w:rPr>
        <w:t>存在下列情形之一的，暂停评标专家资格一年并组织专项培训考试，处罚期满且培训考试合格后恢复专家抽取和续聘资格。</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（一）依据</w:t>
      </w:r>
      <w:r>
        <w:rPr>
          <w:rFonts w:hint="eastAsia" w:ascii="仿宋_GB2312" w:hAnsi="仿宋" w:eastAsia="仿宋_GB2312" w:cs="仿宋"/>
          <w:color w:val="auto"/>
          <w:sz w:val="32"/>
          <w:szCs w:val="32"/>
          <w:highlight w:val="none"/>
          <w:lang w:val="en-US" w:eastAsia="zh-CN"/>
        </w:rPr>
        <w:t>《评标专家年度评价计分考核细则》</w:t>
      </w:r>
      <w:r>
        <w:rPr>
          <w:rFonts w:hint="eastAsia" w:ascii="仿宋_GB2312" w:hAnsi="仿宋_GB2312" w:eastAsia="仿宋_GB2312" w:cs="仿宋_GB2312"/>
          <w:b w:val="0"/>
          <w:bCs/>
          <w:color w:val="auto"/>
          <w:kern w:val="0"/>
          <w:sz w:val="32"/>
          <w:szCs w:val="32"/>
          <w:highlight w:val="none"/>
          <w:lang w:val="en-US" w:eastAsia="zh-CN" w:bidi="ar-SA"/>
        </w:rPr>
        <w:t>，“项目评价”扣分连续两个评价年度达到40分以上，或一个评价年度扣分达到80分以上；</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（二）一个评价年度，被语音通知50次以上，但未参与过评标；</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（三）接受鞍钢招标评标邀请后，委托他人代替；</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（四）受他人委托，代替他人评标；</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（五）擅离职守，不经项目经理同意离开评标室；</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（六）扰乱评标现场秩序，拒绝接受工作人员劝阻；</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（七）应当回避而不回避；</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（八）对其他评标/评审委员会成员的独立评审施加不当影响；</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（九）在评审过程中，拒绝执行鞍钢集团相关制度规定；</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w:t>
      </w:r>
      <w:r>
        <w:rPr>
          <w:rFonts w:hint="eastAsia" w:ascii="仿宋_GB2312" w:hAnsi="仿宋_GB2312" w:eastAsia="仿宋_GB2312" w:cs="仿宋_GB2312"/>
          <w:b w:val="0"/>
          <w:bCs/>
          <w:color w:val="auto"/>
          <w:kern w:val="0"/>
          <w:sz w:val="32"/>
          <w:szCs w:val="32"/>
          <w:highlight w:val="none"/>
          <w:lang w:val="en-US" w:eastAsia="zh-CN" w:bidi="ar-SA"/>
        </w:rPr>
        <w:t>不按照招标采购文件确定的标准和方法评审，导致评审结果有误</w:t>
      </w:r>
      <w:r>
        <w:rPr>
          <w:rFonts w:hint="eastAsia" w:ascii="仿宋_GB2312" w:hAnsi="仿宋_GB2312" w:eastAsia="仿宋_GB2312" w:cs="仿宋_GB2312"/>
          <w:b w:val="0"/>
          <w:bCs/>
          <w:color w:val="auto"/>
          <w:sz w:val="32"/>
          <w:szCs w:val="32"/>
          <w:highlight w:val="none"/>
          <w:lang w:val="en-US" w:eastAsia="zh-CN"/>
        </w:rPr>
        <w:t>；</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（十一）</w:t>
      </w:r>
      <w:r>
        <w:rPr>
          <w:rFonts w:hint="eastAsia" w:ascii="仿宋_GB2312" w:hAnsi="仿宋_GB2312" w:eastAsia="仿宋_GB2312" w:cs="仿宋_GB2312"/>
          <w:b w:val="0"/>
          <w:bCs/>
          <w:color w:val="auto"/>
          <w:kern w:val="0"/>
          <w:sz w:val="32"/>
          <w:szCs w:val="32"/>
          <w:highlight w:val="none"/>
          <w:lang w:val="en-US" w:eastAsia="zh-CN" w:bidi="ar-SA"/>
        </w:rPr>
        <w:t>查实确有倾向性、诱导性发言影响评标结果或对评标造成不良影响</w:t>
      </w:r>
      <w:r>
        <w:rPr>
          <w:rFonts w:hint="eastAsia" w:ascii="仿宋_GB2312" w:hAnsi="仿宋_GB2312" w:eastAsia="仿宋_GB2312" w:cs="仿宋_GB2312"/>
          <w:b w:val="0"/>
          <w:bCs/>
          <w:color w:val="auto"/>
          <w:sz w:val="32"/>
          <w:szCs w:val="32"/>
          <w:highlight w:val="none"/>
          <w:lang w:val="en-US" w:eastAsia="zh-CN"/>
        </w:rPr>
        <w:t>；</w:t>
      </w:r>
    </w:p>
    <w:p>
      <w:pPr>
        <w:numPr>
          <w:ilvl w:val="0"/>
          <w:numId w:val="0"/>
        </w:numPr>
        <w:shd w:val="clear"/>
        <w:tabs>
          <w:tab w:val="left" w:pos="0"/>
        </w:tabs>
        <w:spacing w:line="560" w:lineRule="exact"/>
        <w:ind w:firstLine="640" w:firstLineChars="200"/>
        <w:jc w:val="left"/>
        <w:rPr>
          <w:rFonts w:hint="default"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（十二）无正当理由拒绝在评标/评审报告上签字且无书面说明；</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（十三）在评标/评审结束后，将评标/评审过程中使用的文件、表格、资料或数据带离评标室，存在泄密可能或造成不良影响；</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（十四）不配合对评标/评审结果异议（质疑）、投诉等事项答复；</w:t>
      </w:r>
    </w:p>
    <w:p>
      <w:pPr>
        <w:keepNext w:val="0"/>
        <w:keepLines w:val="0"/>
        <w:pageBreakBefore w:val="0"/>
        <w:widowControl/>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（十五）不协助、不配合有关部门的监督、检查、调查工作；</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（十六）向鞍钢招标提出超额评审费、路费、住宿费及就餐、接待等不合理要求、恶意索取不合理酬劳或者因不合理劳务报酬未被接受，拒绝在评标/评审报告上签字；</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（十七）存在其他违反国家法律、法规、部委规章与行业规范性文件、鞍钢集团制度规定情形的；</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（十八）存在其他不客观、不公正履行职务情形的。</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 xml:space="preserve">第三十五条 </w:t>
      </w:r>
      <w:r>
        <w:rPr>
          <w:rFonts w:hint="eastAsia" w:ascii="仿宋_GB2312" w:hAnsi="仿宋_GB2312" w:eastAsia="仿宋_GB2312" w:cs="仿宋_GB2312"/>
          <w:b w:val="0"/>
          <w:bCs/>
          <w:color w:val="auto"/>
          <w:sz w:val="32"/>
          <w:szCs w:val="32"/>
          <w:highlight w:val="none"/>
          <w:lang w:val="en-US" w:eastAsia="zh-CN"/>
        </w:rPr>
        <w:t>存在下列情形之一的，给予解除评标专家资格，</w:t>
      </w:r>
      <w:r>
        <w:rPr>
          <w:rFonts w:hint="eastAsia" w:ascii="仿宋_GB2312" w:hAnsi="仿宋_GB2312" w:eastAsia="仿宋_GB2312" w:cs="仿宋_GB2312"/>
          <w:b w:val="0"/>
          <w:bCs/>
          <w:color w:val="auto"/>
          <w:kern w:val="0"/>
          <w:sz w:val="32"/>
          <w:szCs w:val="32"/>
          <w:highlight w:val="none"/>
          <w:lang w:val="en-US" w:eastAsia="zh-CN" w:bidi="ar-SA"/>
        </w:rPr>
        <w:t>通报入库推荐单位，并向社会公开。</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（一）提供虚假材料入库，弄虚作假骗取评标专家资格的；</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（二）与招标/采购人、招标/采购代理机构、投标人或者其他利害关系人私下接触或者串通；</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（三）向招标人/采购人征询确定中标/成交人的意向，或者接受任何单位、个人提出的倾向、排斥特定投标人要求；</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（四）暗示或者诱导投标人作出澄清、说明，或者接受投标人主动提出的澄清、说明；</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（五）收受投标人、中间人或其他利害关系人财物或其他好处；</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（六）违法透露对投标文件的评审和比较、中标/成交候选人的推荐以及与评标/评审有关的其他情况；</w:t>
      </w:r>
    </w:p>
    <w:p>
      <w:pPr>
        <w:keepNext w:val="0"/>
        <w:keepLines w:val="0"/>
        <w:pageBreakBefore w:val="0"/>
        <w:widowControl w:val="0"/>
        <w:shd w:val="clear"/>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（七）到达评标现场后，以项目复杂、工作量大等其他理由拒绝参与评标；</w:t>
      </w:r>
    </w:p>
    <w:p>
      <w:pPr>
        <w:shd w:val="clear"/>
        <w:spacing w:line="560" w:lineRule="exact"/>
        <w:ind w:firstLine="640" w:firstLineChars="200"/>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（八）通过QQ群、微信群等互联网群组工具明示或暗示泄漏本人或他人参与评标活动有关信息；</w:t>
      </w:r>
    </w:p>
    <w:p>
      <w:pPr>
        <w:shd w:val="clear"/>
        <w:spacing w:line="560" w:lineRule="exact"/>
        <w:ind w:firstLine="640" w:firstLineChars="200"/>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（九）非法干预或者影响评标/评审过程或结果；</w:t>
      </w:r>
    </w:p>
    <w:p>
      <w:pPr>
        <w:shd w:val="clear"/>
        <w:spacing w:line="560" w:lineRule="exact"/>
        <w:ind w:firstLine="640" w:firstLineChars="200"/>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（十）曾因在招投标活动中或其他活动中存在违法违规行为受刑事处罚、列为失信被执行人或列入严重失信名单；</w:t>
      </w:r>
    </w:p>
    <w:p>
      <w:pPr>
        <w:shd w:val="clear"/>
        <w:spacing w:line="560" w:lineRule="exact"/>
        <w:ind w:firstLine="640" w:firstLineChars="200"/>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（十一）存在其他违法违规行为。</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kern w:val="0"/>
          <w:sz w:val="32"/>
          <w:szCs w:val="32"/>
          <w:highlight w:val="none"/>
          <w:lang w:val="en-US" w:eastAsia="zh-CN" w:bidi="ar-SA"/>
        </w:rPr>
      </w:pPr>
      <w:r>
        <w:rPr>
          <w:rFonts w:hint="eastAsia" w:ascii="黑体" w:hAnsi="黑体" w:eastAsia="黑体" w:cs="黑体"/>
          <w:b w:val="0"/>
          <w:bCs w:val="0"/>
          <w:color w:val="auto"/>
          <w:sz w:val="32"/>
          <w:szCs w:val="32"/>
          <w:highlight w:val="none"/>
          <w:lang w:val="en-US" w:eastAsia="zh-CN"/>
        </w:rPr>
        <w:t xml:space="preserve">第三十六条 </w:t>
      </w:r>
      <w:r>
        <w:rPr>
          <w:rFonts w:hint="eastAsia" w:ascii="仿宋_GB2312" w:hAnsi="仿宋" w:eastAsia="仿宋_GB2312" w:cs="仿宋"/>
          <w:color w:val="auto"/>
          <w:sz w:val="32"/>
          <w:szCs w:val="32"/>
          <w:highlight w:val="none"/>
        </w:rPr>
        <w:t>审计、纪委等监管单位提出</w:t>
      </w:r>
      <w:r>
        <w:rPr>
          <w:rFonts w:hint="eastAsia" w:ascii="仿宋_GB2312" w:hAnsi="仿宋" w:eastAsia="仿宋_GB2312" w:cs="仿宋"/>
          <w:b w:val="0"/>
          <w:bCs/>
          <w:color w:val="auto"/>
          <w:sz w:val="32"/>
          <w:szCs w:val="32"/>
          <w:highlight w:val="none"/>
          <w:lang w:val="en-US" w:eastAsia="zh-CN"/>
        </w:rPr>
        <w:t>考核意见或另有规定的</w:t>
      </w: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按照</w:t>
      </w:r>
      <w:r>
        <w:rPr>
          <w:rFonts w:hint="eastAsia" w:ascii="仿宋_GB2312" w:hAnsi="宋体" w:eastAsia="仿宋_GB2312" w:cs="宋体"/>
          <w:b w:val="0"/>
          <w:bCs/>
          <w:color w:val="auto"/>
          <w:kern w:val="0"/>
          <w:sz w:val="32"/>
          <w:szCs w:val="32"/>
          <w:highlight w:val="none"/>
          <w:lang w:val="en-US" w:eastAsia="zh-CN" w:bidi="ar-SA"/>
        </w:rPr>
        <w:t>考核意见或者有关规定予以处理；考核期</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如有</w:t>
      </w:r>
      <w:r>
        <w:rPr>
          <w:rFonts w:hint="eastAsia" w:ascii="仿宋_GB2312" w:hAnsi="仿宋" w:eastAsia="仿宋_GB2312" w:cs="仿宋"/>
          <w:color w:val="auto"/>
          <w:sz w:val="32"/>
          <w:szCs w:val="32"/>
          <w:highlight w:val="none"/>
          <w:lang w:eastAsia="zh-CN"/>
        </w:rPr>
        <w:t>）</w:t>
      </w:r>
      <w:r>
        <w:rPr>
          <w:rFonts w:hint="eastAsia" w:ascii="仿宋_GB2312" w:hAnsi="宋体" w:eastAsia="仿宋_GB2312" w:cs="宋体"/>
          <w:b w:val="0"/>
          <w:bCs/>
          <w:color w:val="auto"/>
          <w:kern w:val="0"/>
          <w:sz w:val="32"/>
          <w:szCs w:val="32"/>
          <w:highlight w:val="none"/>
          <w:lang w:val="en-US" w:eastAsia="zh-CN" w:bidi="ar-SA"/>
        </w:rPr>
        <w:t>满</w:t>
      </w:r>
      <w:r>
        <w:rPr>
          <w:rFonts w:hint="eastAsia" w:ascii="仿宋_GB2312" w:hAnsi="仿宋" w:eastAsia="仿宋_GB2312" w:cs="仿宋"/>
          <w:color w:val="auto"/>
          <w:sz w:val="32"/>
          <w:szCs w:val="32"/>
          <w:highlight w:val="none"/>
        </w:rPr>
        <w:t>，取得上述单位</w:t>
      </w:r>
      <w:r>
        <w:rPr>
          <w:rFonts w:hint="eastAsia" w:ascii="仿宋_GB2312" w:hAnsi="仿宋" w:eastAsia="仿宋_GB2312" w:cs="仿宋"/>
          <w:color w:val="auto"/>
          <w:sz w:val="32"/>
          <w:szCs w:val="32"/>
          <w:highlight w:val="none"/>
          <w:lang w:val="en-US" w:eastAsia="zh-CN"/>
        </w:rPr>
        <w:t>明确书面意见后</w:t>
      </w:r>
      <w:r>
        <w:rPr>
          <w:rFonts w:hint="eastAsia" w:ascii="仿宋_GB2312" w:hAnsi="仿宋" w:eastAsia="仿宋_GB2312" w:cs="仿宋"/>
          <w:color w:val="auto"/>
          <w:sz w:val="32"/>
          <w:szCs w:val="32"/>
          <w:highlight w:val="none"/>
        </w:rPr>
        <w:t>方可</w:t>
      </w:r>
      <w:r>
        <w:rPr>
          <w:rFonts w:hint="eastAsia" w:ascii="仿宋_GB2312" w:hAnsi="仿宋_GB2312" w:eastAsia="仿宋_GB2312" w:cs="仿宋_GB2312"/>
          <w:b w:val="0"/>
          <w:bCs/>
          <w:color w:val="auto"/>
          <w:sz w:val="32"/>
          <w:szCs w:val="32"/>
          <w:highlight w:val="none"/>
          <w:lang w:val="en-US" w:eastAsia="zh-CN"/>
        </w:rPr>
        <w:t>恢复专家抽取和续聘资格</w:t>
      </w:r>
      <w:r>
        <w:rPr>
          <w:rFonts w:hint="eastAsia" w:ascii="仿宋_GB2312" w:hAnsi="仿宋" w:eastAsia="仿宋_GB2312" w:cs="仿宋"/>
          <w:color w:val="auto"/>
          <w:sz w:val="32"/>
          <w:szCs w:val="32"/>
          <w:highlight w:val="none"/>
          <w:lang w:eastAsia="zh-CN"/>
        </w:rPr>
        <w:t>。</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kern w:val="0"/>
          <w:sz w:val="32"/>
          <w:szCs w:val="32"/>
          <w:highlight w:val="none"/>
          <w:lang w:val="en-US" w:eastAsia="zh-CN" w:bidi="ar-SA"/>
        </w:rPr>
      </w:pPr>
      <w:r>
        <w:rPr>
          <w:rFonts w:hint="eastAsia" w:ascii="黑体" w:hAnsi="黑体" w:eastAsia="黑体" w:cs="黑体"/>
          <w:b w:val="0"/>
          <w:bCs w:val="0"/>
          <w:color w:val="auto"/>
          <w:sz w:val="32"/>
          <w:szCs w:val="32"/>
          <w:highlight w:val="none"/>
          <w:lang w:val="en-US" w:eastAsia="zh-CN"/>
        </w:rPr>
        <w:t xml:space="preserve">第三十七条 </w:t>
      </w:r>
      <w:r>
        <w:rPr>
          <w:rFonts w:hint="eastAsia" w:ascii="仿宋_GB2312" w:hAnsi="仿宋_GB2312" w:eastAsia="仿宋_GB2312" w:cs="仿宋_GB2312"/>
          <w:b w:val="0"/>
          <w:bCs/>
          <w:color w:val="auto"/>
          <w:kern w:val="0"/>
          <w:sz w:val="32"/>
          <w:szCs w:val="32"/>
          <w:highlight w:val="none"/>
          <w:lang w:val="en-US" w:eastAsia="zh-CN" w:bidi="ar-SA"/>
        </w:rPr>
        <w:t>本办法中没有载明的违规事项，或者因造成非常恶劣影响需要加重考核的，由鞍钢招标专家评价小组形成处理意见。</w:t>
      </w:r>
    </w:p>
    <w:p>
      <w:pPr>
        <w:numPr>
          <w:ilvl w:val="0"/>
          <w:numId w:val="0"/>
        </w:numPr>
        <w:tabs>
          <w:tab w:val="left" w:pos="0"/>
        </w:tabs>
        <w:spacing w:line="560" w:lineRule="exact"/>
        <w:ind w:firstLine="640" w:firstLineChars="200"/>
        <w:jc w:val="left"/>
        <w:rPr>
          <w:rFonts w:hint="eastAsia" w:ascii="宋体" w:hAnsi="宋体" w:cs="仿宋"/>
          <w:b/>
          <w:bCs/>
          <w:color w:val="auto"/>
          <w:sz w:val="32"/>
          <w:szCs w:val="32"/>
          <w:highlight w:val="none"/>
        </w:rPr>
      </w:pPr>
      <w:r>
        <w:rPr>
          <w:rFonts w:hint="eastAsia" w:ascii="黑体" w:hAnsi="黑体" w:eastAsia="黑体" w:cs="黑体"/>
          <w:b w:val="0"/>
          <w:bCs w:val="0"/>
          <w:color w:val="auto"/>
          <w:sz w:val="32"/>
          <w:szCs w:val="32"/>
          <w:highlight w:val="none"/>
          <w:lang w:val="en-US" w:eastAsia="zh-CN"/>
        </w:rPr>
        <w:t xml:space="preserve">第三十八条 </w:t>
      </w:r>
      <w:r>
        <w:rPr>
          <w:rFonts w:hint="eastAsia" w:ascii="仿宋_GB2312" w:hAnsi="仿宋_GB2312" w:eastAsia="仿宋_GB2312" w:cs="仿宋_GB2312"/>
          <w:b w:val="0"/>
          <w:bCs/>
          <w:color w:val="auto"/>
          <w:sz w:val="32"/>
          <w:szCs w:val="32"/>
          <w:highlight w:val="none"/>
          <w:lang w:val="en-US" w:eastAsia="zh-CN"/>
        </w:rPr>
        <w:t>涉嫌违纪违法的，及时移送纪检、监察机关、司法机关处理，移除评标专家库。</w:t>
      </w:r>
    </w:p>
    <w:p>
      <w:pPr>
        <w:numPr>
          <w:ilvl w:val="0"/>
          <w:numId w:val="0"/>
        </w:numPr>
        <w:tabs>
          <w:tab w:val="left" w:pos="0"/>
        </w:tabs>
        <w:spacing w:line="560" w:lineRule="exact"/>
        <w:ind w:firstLine="640" w:firstLineChars="200"/>
        <w:jc w:val="left"/>
        <w:rPr>
          <w:rFonts w:hint="eastAsia"/>
          <w:highlight w:val="none"/>
        </w:rPr>
      </w:pPr>
      <w:r>
        <w:rPr>
          <w:rFonts w:hint="eastAsia" w:ascii="黑体" w:hAnsi="黑体" w:eastAsia="黑体" w:cs="黑体"/>
          <w:b w:val="0"/>
          <w:bCs w:val="0"/>
          <w:color w:val="auto"/>
          <w:sz w:val="32"/>
          <w:szCs w:val="32"/>
          <w:highlight w:val="none"/>
          <w:lang w:val="en-US" w:eastAsia="zh-CN"/>
        </w:rPr>
        <w:t xml:space="preserve">第三十九条 </w:t>
      </w:r>
      <w:r>
        <w:rPr>
          <w:rFonts w:hint="eastAsia" w:ascii="仿宋_GB2312" w:hAnsi="仿宋_GB2312" w:eastAsia="仿宋_GB2312" w:cs="仿宋_GB2312"/>
          <w:b w:val="0"/>
          <w:bCs/>
          <w:color w:val="auto"/>
          <w:sz w:val="32"/>
          <w:szCs w:val="32"/>
          <w:highlight w:val="none"/>
          <w:lang w:val="en-US" w:eastAsia="zh-CN"/>
        </w:rPr>
        <w:t>评标专家对评标行为终身负责，不因退休或者与评标专家库组建单位解除聘任关系等免予追责。</w:t>
      </w:r>
    </w:p>
    <w:p>
      <w:pPr>
        <w:spacing w:line="560" w:lineRule="exact"/>
        <w:jc w:val="center"/>
        <w:rPr>
          <w:rFonts w:hint="eastAsia" w:ascii="宋体" w:hAnsi="宋体" w:cs="仿宋"/>
          <w:b/>
          <w:bCs/>
          <w:color w:val="auto"/>
          <w:sz w:val="32"/>
          <w:szCs w:val="32"/>
          <w:highlight w:val="none"/>
        </w:rPr>
      </w:pPr>
    </w:p>
    <w:p>
      <w:pPr>
        <w:spacing w:line="560" w:lineRule="exact"/>
        <w:jc w:val="center"/>
        <w:rPr>
          <w:rFonts w:hint="eastAsia" w:ascii="宋体" w:hAnsi="宋体" w:cs="仿宋"/>
          <w:b/>
          <w:bCs/>
          <w:color w:val="auto"/>
          <w:sz w:val="32"/>
          <w:szCs w:val="32"/>
          <w:highlight w:val="none"/>
          <w:lang w:val="en-US" w:eastAsia="zh-CN"/>
        </w:rPr>
      </w:pPr>
      <w:r>
        <w:rPr>
          <w:rFonts w:hint="eastAsia" w:ascii="宋体" w:hAnsi="宋体" w:cs="仿宋"/>
          <w:b/>
          <w:bCs/>
          <w:color w:val="auto"/>
          <w:sz w:val="32"/>
          <w:szCs w:val="32"/>
          <w:highlight w:val="none"/>
        </w:rPr>
        <w:t>第</w:t>
      </w:r>
      <w:r>
        <w:rPr>
          <w:rFonts w:hint="eastAsia" w:ascii="宋体" w:hAnsi="宋体" w:cs="仿宋"/>
          <w:b/>
          <w:bCs/>
          <w:color w:val="auto"/>
          <w:sz w:val="32"/>
          <w:szCs w:val="32"/>
          <w:highlight w:val="none"/>
          <w:lang w:val="en-US" w:eastAsia="zh-CN"/>
        </w:rPr>
        <w:t>七</w:t>
      </w:r>
      <w:r>
        <w:rPr>
          <w:rFonts w:hint="eastAsia" w:ascii="宋体" w:hAnsi="宋体" w:cs="仿宋"/>
          <w:b/>
          <w:bCs/>
          <w:color w:val="auto"/>
          <w:sz w:val="32"/>
          <w:szCs w:val="32"/>
          <w:highlight w:val="none"/>
        </w:rPr>
        <w:t xml:space="preserve">章  </w:t>
      </w:r>
      <w:r>
        <w:rPr>
          <w:rFonts w:hint="eastAsia" w:ascii="宋体" w:hAnsi="宋体" w:cs="仿宋"/>
          <w:b/>
          <w:bCs/>
          <w:color w:val="auto"/>
          <w:sz w:val="32"/>
          <w:szCs w:val="32"/>
          <w:highlight w:val="none"/>
          <w:lang w:val="en-US" w:eastAsia="zh-CN"/>
        </w:rPr>
        <w:t>相关费用</w:t>
      </w:r>
    </w:p>
    <w:p>
      <w:pPr>
        <w:spacing w:line="560" w:lineRule="exact"/>
        <w:jc w:val="center"/>
        <w:rPr>
          <w:rFonts w:hint="default" w:ascii="宋体" w:hAnsi="宋体" w:cs="仿宋"/>
          <w:b/>
          <w:bCs/>
          <w:color w:val="auto"/>
          <w:sz w:val="32"/>
          <w:szCs w:val="32"/>
          <w:highlight w:val="none"/>
          <w:lang w:val="en-US" w:eastAsia="zh-CN"/>
        </w:rPr>
      </w:pPr>
    </w:p>
    <w:p>
      <w:pPr>
        <w:numPr>
          <w:ilvl w:val="0"/>
          <w:numId w:val="0"/>
        </w:numPr>
        <w:tabs>
          <w:tab w:val="left" w:pos="0"/>
        </w:tabs>
        <w:spacing w:line="560" w:lineRule="exact"/>
        <w:ind w:firstLine="640" w:firstLineChars="200"/>
        <w:jc w:val="both"/>
        <w:rPr>
          <w:rFonts w:hint="default" w:ascii="仿宋_GB2312" w:hAnsi="仿宋" w:eastAsia="仿宋_GB2312" w:cs="仿宋"/>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 xml:space="preserve">第四十一条 </w:t>
      </w:r>
      <w:r>
        <w:rPr>
          <w:rFonts w:hint="eastAsia" w:ascii="仿宋_GB2312" w:hAnsi="仿宋" w:eastAsia="仿宋_GB2312" w:cs="仿宋"/>
          <w:color w:val="auto"/>
          <w:sz w:val="32"/>
          <w:szCs w:val="32"/>
          <w:highlight w:val="none"/>
        </w:rPr>
        <w:t>评审费</w:t>
      </w:r>
      <w:r>
        <w:rPr>
          <w:rFonts w:hint="eastAsia" w:ascii="仿宋_GB2312" w:hAnsi="仿宋" w:eastAsia="仿宋_GB2312" w:cs="仿宋"/>
          <w:color w:val="auto"/>
          <w:sz w:val="32"/>
          <w:szCs w:val="32"/>
          <w:highlight w:val="none"/>
          <w:lang w:val="en-US" w:eastAsia="zh-CN"/>
        </w:rPr>
        <w:t>是评标</w:t>
      </w:r>
      <w:r>
        <w:rPr>
          <w:rFonts w:hint="eastAsia" w:ascii="仿宋_GB2312" w:hAnsi="仿宋" w:eastAsia="仿宋_GB2312" w:cs="仿宋"/>
          <w:color w:val="auto"/>
          <w:sz w:val="32"/>
          <w:szCs w:val="32"/>
          <w:highlight w:val="none"/>
          <w:lang w:eastAsia="zh-CN"/>
        </w:rPr>
        <w:t>专家</w:t>
      </w:r>
      <w:r>
        <w:rPr>
          <w:rFonts w:hint="eastAsia" w:ascii="仿宋_GB2312" w:hAnsi="仿宋" w:eastAsia="仿宋_GB2312" w:cs="仿宋"/>
          <w:color w:val="auto"/>
          <w:sz w:val="32"/>
          <w:szCs w:val="32"/>
          <w:highlight w:val="none"/>
          <w:lang w:val="en-US" w:eastAsia="zh-CN"/>
        </w:rPr>
        <w:t>完成鞍钢招标组织的评审</w:t>
      </w:r>
      <w:r>
        <w:rPr>
          <w:rFonts w:hint="eastAsia" w:ascii="仿宋_GB2312" w:hAnsi="仿宋" w:eastAsia="仿宋_GB2312" w:cs="仿宋"/>
          <w:b w:val="0"/>
          <w:bCs w:val="0"/>
          <w:color w:val="auto"/>
          <w:sz w:val="32"/>
          <w:szCs w:val="32"/>
          <w:highlight w:val="none"/>
          <w:lang w:val="en-US" w:eastAsia="zh-CN"/>
        </w:rPr>
        <w:t>（含复议）工作</w:t>
      </w:r>
      <w:r>
        <w:rPr>
          <w:rFonts w:hint="eastAsia" w:ascii="仿宋_GB2312" w:hAnsi="仿宋" w:eastAsia="仿宋_GB2312" w:cs="仿宋"/>
          <w:color w:val="auto"/>
          <w:sz w:val="32"/>
          <w:szCs w:val="32"/>
          <w:highlight w:val="none"/>
          <w:lang w:val="en-US" w:eastAsia="zh-CN"/>
        </w:rPr>
        <w:t>的劳务报酬，</w:t>
      </w:r>
      <w:r>
        <w:rPr>
          <w:rFonts w:hint="eastAsia" w:ascii="仿宋_GB2312" w:hAnsi="Times New Roman" w:eastAsia="仿宋_GB2312" w:cs="Times New Roman"/>
          <w:color w:val="auto"/>
          <w:sz w:val="32"/>
          <w:szCs w:val="32"/>
          <w:highlight w:val="none"/>
        </w:rPr>
        <w:t>遵循按劳分配原则，</w:t>
      </w:r>
      <w:r>
        <w:rPr>
          <w:rFonts w:hint="eastAsia" w:ascii="仿宋_GB2312" w:hAnsi="仿宋" w:eastAsia="仿宋_GB2312" w:cs="仿宋"/>
          <w:color w:val="auto"/>
          <w:sz w:val="32"/>
          <w:szCs w:val="32"/>
          <w:highlight w:val="none"/>
        </w:rPr>
        <w:t>以专家来源</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属地</w:t>
      </w:r>
      <w:r>
        <w:rPr>
          <w:rFonts w:hint="eastAsia" w:ascii="仿宋_GB2312" w:hAnsi="仿宋" w:eastAsia="仿宋_GB2312" w:cs="仿宋"/>
          <w:color w:val="auto"/>
          <w:sz w:val="32"/>
          <w:szCs w:val="32"/>
          <w:highlight w:val="none"/>
        </w:rPr>
        <w:t>、评审时长和项目特点等作为计费依据。</w:t>
      </w:r>
    </w:p>
    <w:p>
      <w:pPr>
        <w:shd w:val="clear"/>
        <w:spacing w:line="560" w:lineRule="exact"/>
        <w:ind w:firstLine="640" w:firstLineChars="200"/>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lang w:eastAsia="zh-CN"/>
        </w:rPr>
        <w:t>（一）</w:t>
      </w:r>
      <w:r>
        <w:rPr>
          <w:rFonts w:hint="eastAsia" w:ascii="仿宋_GB2312" w:hAnsi="宋体" w:eastAsia="仿宋_GB2312" w:cs="宋体"/>
          <w:color w:val="auto"/>
          <w:sz w:val="32"/>
          <w:szCs w:val="32"/>
          <w:highlight w:val="none"/>
        </w:rPr>
        <w:t>评审时</w:t>
      </w:r>
      <w:r>
        <w:rPr>
          <w:rFonts w:hint="eastAsia" w:ascii="仿宋_GB2312" w:hAnsi="宋体" w:eastAsia="仿宋_GB2312" w:cs="宋体"/>
          <w:color w:val="auto"/>
          <w:sz w:val="32"/>
          <w:szCs w:val="32"/>
          <w:highlight w:val="none"/>
          <w:lang w:eastAsia="zh-CN"/>
        </w:rPr>
        <w:t>长</w:t>
      </w:r>
      <w:r>
        <w:rPr>
          <w:rFonts w:hint="eastAsia" w:ascii="仿宋_GB2312" w:hAnsi="宋体" w:eastAsia="仿宋_GB2312" w:cs="宋体"/>
          <w:color w:val="auto"/>
          <w:sz w:val="32"/>
          <w:szCs w:val="32"/>
          <w:highlight w:val="none"/>
        </w:rPr>
        <w:t>为评审现场</w:t>
      </w:r>
      <w:r>
        <w:rPr>
          <w:rFonts w:hint="eastAsia" w:ascii="仿宋_GB2312" w:hAnsi="宋体" w:eastAsia="仿宋_GB2312" w:cs="宋体"/>
          <w:color w:val="auto"/>
          <w:sz w:val="32"/>
          <w:szCs w:val="32"/>
          <w:highlight w:val="none"/>
          <w:lang w:val="en-US" w:eastAsia="zh-CN"/>
        </w:rPr>
        <w:t>/线</w:t>
      </w:r>
      <w:r>
        <w:rPr>
          <w:rFonts w:hint="eastAsia" w:ascii="仿宋_GB2312" w:hAnsi="仿宋" w:eastAsia="仿宋_GB2312" w:cs="仿宋"/>
          <w:color w:val="auto"/>
          <w:sz w:val="32"/>
          <w:szCs w:val="32"/>
          <w:highlight w:val="none"/>
          <w:lang w:val="en-US" w:eastAsia="zh-CN"/>
        </w:rPr>
        <w:t>上</w:t>
      </w:r>
      <w:r>
        <w:rPr>
          <w:rFonts w:hint="eastAsia" w:ascii="仿宋_GB2312" w:hAnsi="仿宋" w:eastAsia="仿宋_GB2312" w:cs="仿宋"/>
          <w:color w:val="auto"/>
          <w:sz w:val="32"/>
          <w:szCs w:val="32"/>
          <w:highlight w:val="none"/>
        </w:rPr>
        <w:t>集中开始起至评审结束止</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按照评标专家所属地域专家费标准核定，未明确费用标准的，参照当地公共资源、政府采购评审专家劳务费用支付标准执行。</w:t>
      </w:r>
    </w:p>
    <w:p>
      <w:pPr>
        <w:shd w:val="clear"/>
        <w:spacing w:line="560" w:lineRule="exact"/>
        <w:ind w:firstLine="640" w:firstLineChars="200"/>
        <w:rPr>
          <w:rFonts w:hint="eastAsia"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lang w:val="en-US" w:eastAsia="zh-CN"/>
        </w:rPr>
        <w:t>（二）评标</w:t>
      </w:r>
      <w:r>
        <w:rPr>
          <w:rFonts w:hint="eastAsia" w:ascii="仿宋_GB2312" w:hAnsi="仿宋" w:eastAsia="仿宋_GB2312" w:cs="仿宋"/>
          <w:color w:val="auto"/>
          <w:sz w:val="32"/>
          <w:szCs w:val="32"/>
          <w:highlight w:val="none"/>
        </w:rPr>
        <w:t>专家已经到达评审现场，但</w:t>
      </w:r>
      <w:r>
        <w:rPr>
          <w:rFonts w:hint="eastAsia" w:ascii="仿宋_GB2312" w:hAnsi="仿宋" w:eastAsia="仿宋_GB2312" w:cs="仿宋"/>
          <w:color w:val="auto"/>
          <w:sz w:val="32"/>
          <w:szCs w:val="32"/>
          <w:highlight w:val="none"/>
          <w:lang w:val="en-US" w:eastAsia="zh-CN"/>
        </w:rPr>
        <w:t>因项目取消、改期或者非专家本人原因导致依法回避、未能参与评标的</w:t>
      </w:r>
      <w:r>
        <w:rPr>
          <w:rFonts w:hint="eastAsia" w:ascii="仿宋_GB2312" w:hAnsi="仿宋" w:eastAsia="仿宋_GB2312" w:cs="仿宋"/>
          <w:color w:val="auto"/>
          <w:sz w:val="32"/>
          <w:szCs w:val="32"/>
          <w:highlight w:val="none"/>
        </w:rPr>
        <w:t>，给予</w:t>
      </w:r>
      <w:r>
        <w:rPr>
          <w:rFonts w:hint="eastAsia" w:ascii="仿宋_GB2312" w:hAnsi="仿宋" w:eastAsia="仿宋_GB2312" w:cs="仿宋"/>
          <w:color w:val="auto"/>
          <w:sz w:val="32"/>
          <w:szCs w:val="32"/>
          <w:highlight w:val="none"/>
          <w:lang w:val="en-US" w:eastAsia="zh-CN"/>
        </w:rPr>
        <w:t>每人每次</w:t>
      </w:r>
      <w:r>
        <w:rPr>
          <w:rFonts w:hint="eastAsia" w:ascii="仿宋_GB2312" w:hAnsi="仿宋" w:eastAsia="仿宋_GB2312" w:cs="仿宋"/>
          <w:color w:val="auto"/>
          <w:sz w:val="32"/>
          <w:szCs w:val="32"/>
          <w:highlight w:val="none"/>
        </w:rPr>
        <w:t>100元</w:t>
      </w:r>
      <w:r>
        <w:rPr>
          <w:rFonts w:hint="eastAsia" w:ascii="仿宋_GB2312" w:hAnsi="仿宋" w:eastAsia="仿宋_GB2312" w:cs="仿宋"/>
          <w:color w:val="auto"/>
          <w:sz w:val="32"/>
          <w:szCs w:val="32"/>
          <w:highlight w:val="none"/>
          <w:lang w:val="en-US" w:eastAsia="zh-CN"/>
        </w:rPr>
        <w:t>误工津贴</w:t>
      </w:r>
      <w:r>
        <w:rPr>
          <w:rFonts w:hint="eastAsia" w:ascii="仿宋_GB2312" w:hAnsi="仿宋" w:eastAsia="仿宋_GB2312" w:cs="仿宋"/>
          <w:color w:val="auto"/>
          <w:sz w:val="32"/>
          <w:szCs w:val="32"/>
          <w:highlight w:val="none"/>
        </w:rPr>
        <w:t>。</w:t>
      </w:r>
    </w:p>
    <w:p>
      <w:pPr>
        <w:shd w:val="clear"/>
        <w:spacing w:line="560" w:lineRule="exact"/>
        <w:ind w:firstLine="640" w:firstLineChars="200"/>
        <w:rPr>
          <w:rFonts w:hint="default"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三</w:t>
      </w:r>
      <w:r>
        <w:rPr>
          <w:rFonts w:hint="eastAsia" w:ascii="仿宋_GB2312" w:hAnsi="仿宋" w:eastAsia="仿宋_GB2312" w:cs="仿宋"/>
          <w:color w:val="auto"/>
          <w:sz w:val="32"/>
          <w:szCs w:val="32"/>
          <w:highlight w:val="none"/>
        </w:rPr>
        <w:t>）</w:t>
      </w:r>
      <w:r>
        <w:rPr>
          <w:rFonts w:hint="eastAsia" w:ascii="仿宋_GB2312" w:hAnsi="仿宋" w:eastAsia="仿宋_GB2312" w:cs="仿宋"/>
          <w:color w:val="auto"/>
          <w:sz w:val="32"/>
          <w:szCs w:val="32"/>
          <w:highlight w:val="none"/>
          <w:lang w:val="en-US" w:eastAsia="zh-CN"/>
        </w:rPr>
        <w:t>因统一安排且评标专家未离开评标场所的累计休息、单次用餐时间不超过30分钟的，计入评标时长；超过30分钟的，超出部分不计入评标时长。隔夜评标期间的休息时间不计入评标时间，按照专家离开评标场所或者退出评标系统至次日重新进入评标场所或者评标系统的实际时间段核定。</w:t>
      </w:r>
    </w:p>
    <w:p>
      <w:pPr>
        <w:shd w:val="clear"/>
        <w:spacing w:line="560" w:lineRule="exact"/>
        <w:ind w:firstLine="640" w:firstLineChars="200"/>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（四）法定节假日（不含串休）参加评审的，评审费用可按照非法定节假日标准的2倍支付。</w:t>
      </w:r>
    </w:p>
    <w:p>
      <w:pPr>
        <w:shd w:val="clear"/>
        <w:spacing w:line="560" w:lineRule="exact"/>
        <w:ind w:firstLine="640" w:firstLineChars="200"/>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五）通过省综合评标专家库、省政府采购评标专家库、必联网以及其他企业专家库等外部专家库抽取的评标专家，按当地公共资源、政府采购、所在企业专家库评审费支付标准支付；没有支付标准的，按照鞍钢集团外部评标专家评审费标准支付。</w:t>
      </w:r>
    </w:p>
    <w:p>
      <w:pPr>
        <w:numPr>
          <w:ilvl w:val="0"/>
          <w:numId w:val="0"/>
        </w:numPr>
        <w:shd w:val="clear"/>
        <w:spacing w:line="560" w:lineRule="exact"/>
        <w:ind w:firstLine="640" w:firstLineChars="200"/>
        <w:rPr>
          <w:rFonts w:hint="eastAsia" w:ascii="仿宋_GB2312" w:hAnsi="Times New Roman" w:eastAsia="仿宋_GB2312" w:cs="Times New Roman"/>
          <w:b w:val="0"/>
          <w:bCs w:val="0"/>
          <w:color w:val="auto"/>
          <w:kern w:val="2"/>
          <w:sz w:val="32"/>
          <w:szCs w:val="32"/>
          <w:highlight w:val="none"/>
          <w:lang w:eastAsia="zh-CN"/>
        </w:rPr>
      </w:pPr>
    </w:p>
    <w:p>
      <w:pPr>
        <w:rPr>
          <w:rFonts w:hint="eastAsia" w:ascii="黑体" w:hAnsi="仿宋" w:eastAsia="黑体" w:cs="仿宋_GB2312"/>
          <w:color w:val="auto"/>
          <w:sz w:val="32"/>
          <w:szCs w:val="32"/>
          <w:highlight w:val="none"/>
        </w:rPr>
      </w:pPr>
      <w:r>
        <w:rPr>
          <w:rFonts w:hint="eastAsia" w:ascii="黑体" w:hAnsi="仿宋" w:eastAsia="黑体" w:cs="仿宋_GB2312"/>
          <w:color w:val="auto"/>
          <w:sz w:val="32"/>
          <w:szCs w:val="32"/>
          <w:highlight w:val="none"/>
        </w:rPr>
        <w:br w:type="page"/>
      </w:r>
    </w:p>
    <w:p>
      <w:pPr>
        <w:rPr>
          <w:rFonts w:ascii="黑体" w:hAnsi="仿宋" w:eastAsia="黑体" w:cs="仿宋_GB2312"/>
          <w:color w:val="auto"/>
          <w:sz w:val="32"/>
          <w:szCs w:val="32"/>
          <w:highlight w:val="none"/>
        </w:rPr>
      </w:pPr>
      <w:r>
        <w:rPr>
          <w:rFonts w:hint="eastAsia" w:ascii="黑体" w:hAnsi="仿宋" w:eastAsia="黑体" w:cs="仿宋_GB2312"/>
          <w:color w:val="auto"/>
          <w:sz w:val="32"/>
          <w:szCs w:val="32"/>
          <w:highlight w:val="none"/>
        </w:rPr>
        <w:t>附件</w:t>
      </w:r>
    </w:p>
    <w:p>
      <w:pPr>
        <w:spacing w:line="560" w:lineRule="exact"/>
        <w:jc w:val="center"/>
        <w:rPr>
          <w:rFonts w:hint="eastAsia" w:ascii="宋体" w:hAnsi="宋体" w:eastAsia="宋体" w:cs="仿宋"/>
          <w:b/>
          <w:bCs/>
          <w:color w:val="auto"/>
          <w:sz w:val="40"/>
          <w:szCs w:val="40"/>
          <w:highlight w:val="none"/>
          <w:lang w:val="en-US" w:eastAsia="zh-CN"/>
        </w:rPr>
      </w:pPr>
      <w:r>
        <w:rPr>
          <w:rFonts w:hint="eastAsia" w:ascii="宋体" w:hAnsi="宋体" w:cs="仿宋"/>
          <w:b/>
          <w:bCs/>
          <w:color w:val="auto"/>
          <w:sz w:val="40"/>
          <w:szCs w:val="40"/>
          <w:highlight w:val="none"/>
          <w:lang w:val="en-US" w:eastAsia="zh-CN"/>
        </w:rPr>
        <w:t>评标专家年度评价计分考核细则</w:t>
      </w:r>
    </w:p>
    <w:p>
      <w:pPr>
        <w:spacing w:line="560" w:lineRule="exact"/>
        <w:ind w:firstLine="640" w:firstLineChars="200"/>
        <w:rPr>
          <w:rFonts w:ascii="仿宋_GB2312" w:hAnsi="仿宋" w:eastAsia="仿宋_GB2312" w:cs="Times New Roman"/>
          <w:color w:val="auto"/>
          <w:sz w:val="32"/>
          <w:szCs w:val="32"/>
          <w:highlight w:val="none"/>
        </w:rPr>
      </w:pPr>
    </w:p>
    <w:p>
      <w:pPr>
        <w:numPr>
          <w:ilvl w:val="0"/>
          <w:numId w:val="2"/>
        </w:numPr>
        <w:shd w:val="clear"/>
        <w:spacing w:line="560" w:lineRule="exact"/>
        <w:ind w:left="0" w:leftChars="0"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为加强鞍钢集团评标专家库（以下简称评标专家库）评标专家（以下简称专家）动态管理，健全专家考核评价制度，构建全面、立体的专家信用档案和管理体系，规范专家评标/评审行为，促进专家客观公正履职，提升评价质量和效率，根据</w:t>
      </w:r>
      <w:r>
        <w:rPr>
          <w:rFonts w:hint="eastAsia" w:ascii="仿宋_GB2312" w:hAnsi="仿宋" w:eastAsia="仿宋_GB2312" w:cs="仿宋"/>
          <w:color w:val="auto"/>
          <w:sz w:val="32"/>
          <w:szCs w:val="32"/>
          <w:highlight w:val="none"/>
        </w:rPr>
        <w:t>《评标专家和评标专家库管理办法》</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lang w:val="en-US" w:eastAsia="zh-CN"/>
        </w:rPr>
        <w:t>评标委员会和评标办法暂行规定</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《鞍</w:t>
      </w:r>
      <w:r>
        <w:rPr>
          <w:rFonts w:hint="eastAsia" w:ascii="仿宋_GB2312" w:hAnsi="仿宋" w:eastAsia="仿宋_GB2312" w:cs="仿宋"/>
          <w:color w:val="auto"/>
          <w:sz w:val="32"/>
          <w:szCs w:val="32"/>
          <w:highlight w:val="none"/>
          <w:shd w:val="clear"/>
        </w:rPr>
        <w:t>钢集团有限公司招标询比竞价</w:t>
      </w:r>
      <w:r>
        <w:rPr>
          <w:rFonts w:hint="eastAsia" w:ascii="仿宋_GB2312" w:hAnsi="仿宋" w:eastAsia="仿宋_GB2312" w:cs="仿宋"/>
          <w:color w:val="auto"/>
          <w:sz w:val="32"/>
          <w:szCs w:val="32"/>
          <w:highlight w:val="none"/>
          <w:shd w:val="clear"/>
          <w:lang w:val="en-US" w:eastAsia="zh-CN"/>
        </w:rPr>
        <w:t>谈判</w:t>
      </w:r>
      <w:r>
        <w:rPr>
          <w:rFonts w:hint="eastAsia" w:ascii="仿宋_GB2312" w:hAnsi="仿宋" w:eastAsia="仿宋_GB2312" w:cs="仿宋"/>
          <w:color w:val="auto"/>
          <w:sz w:val="32"/>
          <w:szCs w:val="32"/>
          <w:highlight w:val="none"/>
          <w:shd w:val="clear"/>
        </w:rPr>
        <w:t>实施细则》</w:t>
      </w:r>
      <w:r>
        <w:rPr>
          <w:rFonts w:hint="eastAsia" w:ascii="仿宋_GB2312" w:hAnsi="仿宋" w:eastAsia="仿宋_GB2312" w:cs="仿宋"/>
          <w:color w:val="auto"/>
          <w:sz w:val="32"/>
          <w:szCs w:val="32"/>
          <w:highlight w:val="none"/>
          <w:shd w:val="clear"/>
          <w:lang w:val="en-US" w:eastAsia="zh-CN"/>
        </w:rPr>
        <w:t>和《鞍钢招标有限公司评标专家管理办法》等规定，结合实际，制定本考核细则。</w:t>
      </w:r>
    </w:p>
    <w:p>
      <w:pPr>
        <w:numPr>
          <w:ilvl w:val="0"/>
          <w:numId w:val="2"/>
        </w:numPr>
        <w:shd w:val="clear"/>
        <w:spacing w:line="560" w:lineRule="exact"/>
        <w:ind w:left="0" w:leftChars="0"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评标专家年度评价计分考核工作（以下简称考评）适用本细则。</w:t>
      </w:r>
    </w:p>
    <w:p>
      <w:pPr>
        <w:numPr>
          <w:ilvl w:val="0"/>
          <w:numId w:val="2"/>
        </w:numPr>
        <w:shd w:val="clear"/>
        <w:spacing w:line="560" w:lineRule="exact"/>
        <w:ind w:left="0" w:leftChars="0"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专家年度评价计分考核，采用动态评分形式，分为项目评价、年度评价，内容包括考勤、履职、自主学习、培训考试等方面。</w:t>
      </w:r>
    </w:p>
    <w:p>
      <w:pPr>
        <w:numPr>
          <w:ilvl w:val="0"/>
          <w:numId w:val="2"/>
        </w:numPr>
        <w:shd w:val="clear"/>
        <w:spacing w:line="560" w:lineRule="exact"/>
        <w:ind w:left="0" w:leftChars="0"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考评结果作为专家动态管理重要依据的组成部分。</w:t>
      </w:r>
    </w:p>
    <w:p>
      <w:pPr>
        <w:numPr>
          <w:ilvl w:val="0"/>
          <w:numId w:val="2"/>
        </w:numPr>
        <w:shd w:val="clear"/>
        <w:spacing w:line="560" w:lineRule="exact"/>
        <w:ind w:left="0" w:leftChars="0"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项目</w:t>
      </w:r>
      <w:r>
        <w:rPr>
          <w:rFonts w:hint="eastAsia" w:ascii="仿宋_GB2312" w:hAnsi="仿宋_GB2312" w:eastAsia="仿宋_GB2312" w:cs="仿宋_GB2312"/>
          <w:b w:val="0"/>
          <w:bCs/>
          <w:color w:val="auto"/>
          <w:sz w:val="32"/>
          <w:szCs w:val="32"/>
          <w:highlight w:val="none"/>
          <w:lang w:val="en-US" w:eastAsia="zh-CN"/>
        </w:rPr>
        <w:t>评价</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项目评价实行“一项目一评价”，内容和标准如下：</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
        <w:gridCol w:w="7802"/>
        <w:gridCol w:w="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序号</w:t>
            </w:r>
          </w:p>
        </w:tc>
        <w:tc>
          <w:tcPr>
            <w:tcW w:w="7802"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评价内容</w:t>
            </w:r>
          </w:p>
        </w:tc>
        <w:tc>
          <w:tcPr>
            <w:tcW w:w="73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扣分标准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迟到10分钟以下</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迟到10-30分钟</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3</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迟到30分钟以上</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4</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已接受邀请，请假与评标时间间隔2小时以内</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已接受邀请，无故不参与评标活动且未请假或请假时间在开标时间2小时以后</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6</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出席评标/评审活动，不配合工作人员核验身份</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7</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进入评标区域未按要求设置静音并在指定位置缴存随身携带的通讯工具</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8</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在评标区，未缴存且使用随身携带的通讯工具</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9</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在评标/评审现场高声喧哗或随意走动，不遵守工作纪律，影响正常评标秩序</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10</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评标/评审过程中未经项目经理许可擅自离开评标现场</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11</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评审时不发表意见</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12</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不熟悉业务或电子化评标操作，严重影响评标工作正常开展</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13</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评标/评审时，扣分拒绝说明理由</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14</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评审打分被判定为异常性评分</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15</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无正当理由不参加复议/续评</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16</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发表不当言辞，或存在倾向性、诱导性发言，未造成实质性影响，且及时纠正错误</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17</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发表与个人书面评审意见相反言辞</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18</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不仔细审阅招标/采购公告、文件以及投标文件，未发现投标文件中的响应偏差等应当发现而没有发现的评审错误</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19</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无故拖延评审时间</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20</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向鞍钢招标提出相关评审费、住宿、交通、接待等不合理要求</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21</w:t>
            </w:r>
          </w:p>
        </w:tc>
        <w:tc>
          <w:tcPr>
            <w:tcW w:w="7802" w:type="dxa"/>
            <w:vAlign w:val="top"/>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因评标专家失职或对评标专家的有效投诉，造成重新评标/评审</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22</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无故不参加鞍钢招标组织的评标专家教育培训</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23</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参加鞍钢招标组织的培训、会议，迟到/早退</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24</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不接受有关部门依法依规监督或存在恶意举报或投诉</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25</w:t>
            </w:r>
          </w:p>
        </w:tc>
        <w:tc>
          <w:tcPr>
            <w:tcW w:w="7802"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其他不客观、不公正履行职务行为</w:t>
            </w:r>
          </w:p>
        </w:tc>
        <w:tc>
          <w:tcPr>
            <w:tcW w:w="736" w:type="dxa"/>
          </w:tcPr>
          <w:p>
            <w:pPr>
              <w:keepNext w:val="0"/>
              <w:keepLines w:val="0"/>
              <w:pageBreakBefore w:val="0"/>
              <w:widowControl w:val="0"/>
              <w:tabs>
                <w:tab w:val="left" w:pos="5940"/>
              </w:tabs>
              <w:kinsoku/>
              <w:wordWrap/>
              <w:overflowPunct/>
              <w:topLinePunct w:val="0"/>
              <w:autoSpaceDE/>
              <w:autoSpaceDN/>
              <w:bidi w:val="0"/>
              <w:adjustRightInd/>
              <w:snapToGrid/>
              <w:spacing w:before="0" w:beforeAutospacing="0" w:after="0" w:afterAutospacing="0" w:line="240" w:lineRule="auto"/>
              <w:jc w:val="both"/>
              <w:textAlignment w:val="auto"/>
              <w:rPr>
                <w:rFonts w:hint="default" w:ascii="仿宋_GB2312" w:hAnsi="仿宋_GB2312" w:eastAsia="仿宋_GB2312" w:cs="仿宋_GB2312"/>
                <w:b w:val="0"/>
                <w:bCs/>
                <w:color w:val="auto"/>
                <w:kern w:val="0"/>
                <w:sz w:val="24"/>
                <w:szCs w:val="24"/>
                <w:highlight w:val="none"/>
                <w:vertAlign w:val="baseline"/>
                <w:lang w:val="en-US" w:eastAsia="zh-CN" w:bidi="ar-SA"/>
              </w:rPr>
            </w:pPr>
            <w:r>
              <w:rPr>
                <w:rFonts w:hint="eastAsia" w:ascii="仿宋_GB2312" w:hAnsi="仿宋_GB2312" w:eastAsia="仿宋_GB2312" w:cs="仿宋_GB2312"/>
                <w:b w:val="0"/>
                <w:bCs/>
                <w:color w:val="auto"/>
                <w:kern w:val="0"/>
                <w:sz w:val="24"/>
                <w:szCs w:val="24"/>
                <w:highlight w:val="none"/>
                <w:vertAlign w:val="baseline"/>
                <w:lang w:val="en-US" w:eastAsia="zh-CN" w:bidi="ar-SA"/>
              </w:rPr>
              <w:t>10</w:t>
            </w:r>
          </w:p>
        </w:tc>
      </w:tr>
    </w:tbl>
    <w:p>
      <w:pPr>
        <w:numPr>
          <w:ilvl w:val="0"/>
          <w:numId w:val="2"/>
        </w:numPr>
        <w:shd w:val="clear"/>
        <w:spacing w:line="560" w:lineRule="exact"/>
        <w:ind w:left="0" w:leftChars="0" w:firstLine="640" w:firstLineChars="200"/>
        <w:jc w:val="both"/>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年度评价。年度评价通过年度总体参评情况、项目评价、自主学习、培训考试等指标由系统自动进行评价。年度评价考核周期为上一年度，考评范围为上一年度聘满一年的在库专家，未聘满一年的不参与该年度的年度评价。</w:t>
      </w:r>
    </w:p>
    <w:p>
      <w:pPr>
        <w:numPr>
          <w:ilvl w:val="0"/>
          <w:numId w:val="0"/>
        </w:numPr>
        <w:shd w:val="clear"/>
        <w:tabs>
          <w:tab w:val="left" w:pos="0"/>
        </w:tabs>
        <w:spacing w:line="560" w:lineRule="exact"/>
        <w:ind w:firstLine="640" w:firstLineChars="200"/>
        <w:jc w:val="both"/>
        <w:rPr>
          <w:rFonts w:hint="default"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年度评价总分计算公式为（满分100分，最低分0分）：年度评价总分=总体参评得分+项目评审评价得分+自主学习得分+培训考试得分+其他</w:t>
      </w:r>
    </w:p>
    <w:p>
      <w:pPr>
        <w:widowControl w:val="0"/>
        <w:shd w:val="clear"/>
        <w:tabs>
          <w:tab w:val="left" w:pos="5940"/>
        </w:tabs>
        <w:spacing w:before="0" w:beforeAutospacing="0" w:after="0" w:afterAutospacing="0" w:line="560" w:lineRule="exact"/>
        <w:ind w:firstLine="640" w:firstLineChars="200"/>
        <w:jc w:val="both"/>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（一）总体参评得分（满分20分）。总体参评情况由系统自动记录，包括语音电话未接听数、拒绝参评数，专家负面行为对应阶梯式扣分规则，具体如下：</w:t>
      </w:r>
    </w:p>
    <w:p>
      <w:pPr>
        <w:numPr>
          <w:ilvl w:val="0"/>
          <w:numId w:val="0"/>
        </w:numPr>
        <w:shd w:val="clear"/>
        <w:tabs>
          <w:tab w:val="left" w:pos="0"/>
        </w:tabs>
        <w:spacing w:line="560" w:lineRule="exact"/>
        <w:ind w:firstLine="640" w:firstLineChars="200"/>
        <w:jc w:val="both"/>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1.年度语音电话未接听数小于等于50次不扣分，在51次至100次内每增加10次扣0.5分，在101次至200次内每增加10次扣1分，在200次以上每增加10次扣2分。</w:t>
      </w:r>
    </w:p>
    <w:p>
      <w:pPr>
        <w:numPr>
          <w:ilvl w:val="0"/>
          <w:numId w:val="0"/>
        </w:numPr>
        <w:shd w:val="clear"/>
        <w:tabs>
          <w:tab w:val="left" w:pos="0"/>
        </w:tabs>
        <w:spacing w:line="560" w:lineRule="exact"/>
        <w:ind w:firstLine="640" w:firstLineChars="200"/>
        <w:jc w:val="both"/>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2.年度主动拒绝参评数小于等于50次不扣分，在51次至100次内每增加10次扣0.5分，在101次至200次内每增加10次扣1分，在200次以上每增加10次扣2分。</w:t>
      </w:r>
    </w:p>
    <w:p>
      <w:pPr>
        <w:numPr>
          <w:ilvl w:val="0"/>
          <w:numId w:val="0"/>
        </w:numPr>
        <w:shd w:val="clear"/>
        <w:tabs>
          <w:tab w:val="left" w:pos="0"/>
        </w:tabs>
        <w:spacing w:line="560" w:lineRule="exact"/>
        <w:ind w:firstLine="640" w:firstLineChars="200"/>
        <w:jc w:val="both"/>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3.年度内未被语音通知不扣分。</w:t>
      </w:r>
    </w:p>
    <w:p>
      <w:pPr>
        <w:widowControl w:val="0"/>
        <w:shd w:val="clear"/>
        <w:tabs>
          <w:tab w:val="left" w:pos="5940"/>
        </w:tabs>
        <w:spacing w:before="0" w:beforeAutospacing="0" w:after="0" w:afterAutospacing="0" w:line="560" w:lineRule="exact"/>
        <w:ind w:firstLine="640" w:firstLineChars="200"/>
        <w:jc w:val="both"/>
        <w:rPr>
          <w:rFonts w:hint="default"/>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bidi="ar-SA"/>
        </w:rPr>
        <w:t>总体参评情况最终得分计算公式为：20-该项年度所有扣分，扣到0为止。</w:t>
      </w:r>
    </w:p>
    <w:p>
      <w:pPr>
        <w:widowControl w:val="0"/>
        <w:shd w:val="clear"/>
        <w:tabs>
          <w:tab w:val="left" w:pos="5940"/>
        </w:tabs>
        <w:spacing w:before="0" w:beforeAutospacing="0" w:after="0" w:afterAutospacing="0" w:line="560" w:lineRule="exact"/>
        <w:ind w:firstLine="640" w:firstLineChars="200"/>
        <w:jc w:val="both"/>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（二）项目评价得分（满分40分）。</w:t>
      </w:r>
    </w:p>
    <w:p>
      <w:pPr>
        <w:widowControl w:val="0"/>
        <w:shd w:val="clear"/>
        <w:tabs>
          <w:tab w:val="left" w:pos="5940"/>
        </w:tabs>
        <w:spacing w:before="0" w:beforeAutospacing="0" w:after="0" w:afterAutospacing="0" w:line="560" w:lineRule="exact"/>
        <w:ind w:firstLine="640" w:firstLineChars="200"/>
        <w:jc w:val="both"/>
        <w:rPr>
          <w:rFonts w:hint="default"/>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bidi="ar-SA"/>
        </w:rPr>
        <w:t>年度项目评价最终得分计算公式为：40-该项年度所有扣分，扣到0为止。</w:t>
      </w:r>
    </w:p>
    <w:p>
      <w:pPr>
        <w:widowControl w:val="0"/>
        <w:shd w:val="clear"/>
        <w:tabs>
          <w:tab w:val="left" w:pos="5940"/>
        </w:tabs>
        <w:spacing w:before="0" w:beforeAutospacing="0" w:after="0" w:afterAutospacing="0" w:line="560" w:lineRule="exact"/>
        <w:ind w:firstLine="640" w:firstLineChars="200"/>
        <w:jc w:val="both"/>
        <w:rPr>
          <w:rFonts w:hint="default"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（三）自主学习（满分10分）。年度自主学习，专家通过智慧招投标平台自主学习获得学习积分，即为年度自主学习得分。学习积分大于10分，年度自主学习得分满分10分。</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color w:val="auto"/>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bidi="ar-SA"/>
        </w:rPr>
        <w:t>（四）培训考试（满分20分）。专家通过智慧招投标平台参加培训考试（满分100分），将培训考试分数再折算为年度培训考试得分。培训考试分数低于60分，为不合格；培训考试达到60分后，折算年度培训考试得分计算公式为：（Y-60）*0.8；培训考试达到85分（含85分）折算年度培训考试满分20分。</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（五）其他（满分10分）。此部分基础分10分，扣到0分、加到10分为止。</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1.反映招标文件存在违反公平竞争相关条款，经有关方面证实属实的，每次加1分，年度内最多加2分。</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2.检举评标活动中存在违法、违规、违纪行为，经有关方面证实属实的，每次加1分，年度内最多加2分。</w:t>
      </w:r>
    </w:p>
    <w:p>
      <w:pPr>
        <w:numPr>
          <w:ilvl w:val="0"/>
          <w:numId w:val="0"/>
        </w:numPr>
        <w:shd w:val="clear"/>
        <w:tabs>
          <w:tab w:val="left" w:pos="0"/>
        </w:tabs>
        <w:spacing w:line="560" w:lineRule="exact"/>
        <w:ind w:firstLine="640" w:firstLineChars="200"/>
        <w:jc w:val="both"/>
        <w:rPr>
          <w:rFonts w:hint="eastAsia"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3.评标工作中作出突出贡献的，经有关方面证实属实的，每次加2分，年度内最多加6分。</w:t>
      </w:r>
    </w:p>
    <w:p>
      <w:pPr>
        <w:numPr>
          <w:ilvl w:val="0"/>
          <w:numId w:val="0"/>
        </w:numPr>
        <w:shd w:val="clear"/>
        <w:tabs>
          <w:tab w:val="left" w:pos="0"/>
        </w:tabs>
        <w:spacing w:line="560" w:lineRule="exact"/>
        <w:ind w:firstLine="640" w:firstLineChars="200"/>
        <w:jc w:val="left"/>
        <w:rPr>
          <w:rFonts w:hint="default" w:ascii="仿宋_GB2312" w:hAnsi="仿宋_GB2312" w:eastAsia="仿宋_GB2312" w:cs="仿宋_GB2312"/>
          <w:b w:val="0"/>
          <w:bCs/>
          <w:color w:val="auto"/>
          <w:kern w:val="0"/>
          <w:sz w:val="32"/>
          <w:szCs w:val="32"/>
          <w:highlight w:val="none"/>
          <w:lang w:val="en-US" w:eastAsia="zh-CN" w:bidi="ar-SA"/>
        </w:rPr>
      </w:pPr>
      <w:r>
        <w:rPr>
          <w:rFonts w:hint="eastAsia" w:ascii="仿宋_GB2312" w:hAnsi="仿宋_GB2312" w:eastAsia="仿宋_GB2312" w:cs="仿宋_GB2312"/>
          <w:b w:val="0"/>
          <w:bCs/>
          <w:color w:val="auto"/>
          <w:kern w:val="0"/>
          <w:sz w:val="32"/>
          <w:szCs w:val="32"/>
          <w:highlight w:val="none"/>
          <w:lang w:val="en-US" w:eastAsia="zh-CN" w:bidi="ar-SA"/>
        </w:rPr>
        <w:t>4.因工作单位变动、兼职、辞职或联系方式变更等不及时修正，每次扣2分，年度内最多扣4分。</w:t>
      </w:r>
    </w:p>
    <w:p>
      <w:pPr>
        <w:numPr>
          <w:ilvl w:val="0"/>
          <w:numId w:val="0"/>
        </w:numPr>
        <w:shd w:val="clear"/>
        <w:tabs>
          <w:tab w:val="left" w:pos="0"/>
        </w:tabs>
        <w:spacing w:line="560" w:lineRule="exact"/>
        <w:ind w:firstLine="640" w:firstLineChars="200"/>
        <w:jc w:val="left"/>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bidi="ar-SA"/>
        </w:rPr>
        <w:t>5.恶意调整评标专业申请，每次扣2分，年度内最多扣6分。</w:t>
      </w:r>
    </w:p>
    <w:p>
      <w:pPr>
        <w:numPr>
          <w:ilvl w:val="0"/>
          <w:numId w:val="2"/>
        </w:numPr>
        <w:shd w:val="clear"/>
        <w:spacing w:line="560" w:lineRule="exact"/>
        <w:ind w:left="0" w:leftChars="0" w:firstLine="640" w:firstLineChars="200"/>
        <w:jc w:val="left"/>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年度评价申诉。年度评价结果公布前，鞍钢招标通过鞍钢智慧招投标平台告知专家年度评价结果。专家对评价结果有异议的，有权在知道或者应当知道评价结果之日起14个工作日内向鞍钢招标综合管理部提出申诉，鞍钢招标对申请做出答复并将最终处理结果通过鞍钢智慧招投标平台告知申诉人。</w:t>
      </w:r>
    </w:p>
    <w:p>
      <w:pPr>
        <w:numPr>
          <w:ilvl w:val="0"/>
          <w:numId w:val="2"/>
        </w:numPr>
        <w:shd w:val="clear"/>
        <w:spacing w:line="560" w:lineRule="exact"/>
        <w:ind w:left="0" w:leftChars="0" w:firstLine="640" w:firstLineChars="200"/>
        <w:jc w:val="left"/>
        <w:rPr>
          <w:rFonts w:hint="default"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专家年度评价周期内，项目评价累计被扣11-20分的，暂停其1个月专家资格；累计被扣21-30分的，暂停其2个月专家资格；累计被扣31-40分的，暂停其3个月专家资格；累计被扣40分以上但低于80分的，或年度评价得分排名后10%的，暂停其3个月专家资格并参加专项培训考试，培训考试合格后恢复抽取及续聘资格。</w:t>
      </w:r>
    </w:p>
    <w:p>
      <w:pPr>
        <w:numPr>
          <w:ilvl w:val="0"/>
          <w:numId w:val="2"/>
        </w:numPr>
        <w:shd w:val="clear"/>
        <w:spacing w:line="560" w:lineRule="exact"/>
        <w:ind w:left="0" w:leftChars="0"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培训考试。在库专家培训考试一般于每年第四季度依托鞍钢智慧招投标平台开展，考试60分以下或不参加培训考试的，暂停其被抽取资格，鞍钢招标定期组织专项培训考试作为补考，专项培训考试合格后恢复抽取及续聘资格。</w:t>
      </w:r>
    </w:p>
    <w:p>
      <w:pPr>
        <w:rPr>
          <w:highlight w:val="none"/>
        </w:rPr>
      </w:pPr>
    </w:p>
    <w:sectPr>
      <w:headerReference r:id="rId3" w:type="default"/>
      <w:footerReference r:id="rId4" w:type="default"/>
      <w:pgSz w:w="11906" w:h="16838"/>
      <w:pgMar w:top="1701" w:right="1474" w:bottom="1477" w:left="1587" w:header="851" w:footer="629"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w:t>
    </w:r>
    <w:r>
      <w:rPr>
        <w:sz w:val="28"/>
        <w:szCs w:val="28"/>
      </w:rPr>
      <w:fldChar w:fldCharType="end"/>
    </w:r>
    <w:r>
      <w:rPr>
        <w:rFonts w:hint="eastAsia"/>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hint="default" w:eastAsiaTheme="minorEastAsia"/>
        <w:lang w:val="en-US" w:eastAsia="zh-CN"/>
      </w:rPr>
    </w:pPr>
    <w:r>
      <w:rPr>
        <w:rFonts w:hint="eastAsia"/>
        <w:lang w:val="en-US" w:eastAsia="zh-CN"/>
      </w:rPr>
      <w:t>2026版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FEF526"/>
    <w:multiLevelType w:val="singleLevel"/>
    <w:tmpl w:val="CDFEF526"/>
    <w:lvl w:ilvl="0" w:tentative="0">
      <w:start w:val="1"/>
      <w:numFmt w:val="chineseCounting"/>
      <w:suff w:val="nothing"/>
      <w:lvlText w:val="（%1）"/>
      <w:lvlJc w:val="left"/>
      <w:rPr>
        <w:rFonts w:hint="eastAsia"/>
      </w:rPr>
    </w:lvl>
  </w:abstractNum>
  <w:abstractNum w:abstractNumId="1">
    <w:nsid w:val="75CE6FFB"/>
    <w:multiLevelType w:val="singleLevel"/>
    <w:tmpl w:val="75CE6FFB"/>
    <w:lvl w:ilvl="0" w:tentative="0">
      <w:start w:val="1"/>
      <w:numFmt w:val="chineseCounting"/>
      <w:suff w:val="space"/>
      <w:lvlText w:val="第%1条"/>
      <w:lvlJc w:val="left"/>
      <w:pPr>
        <w:tabs>
          <w:tab w:val="left" w:pos="0"/>
        </w:tabs>
      </w:pPr>
      <w:rPr>
        <w:rFonts w:hint="eastAsia" w:eastAsia="黑体"/>
        <w:b w:val="0"/>
        <w:bCs/>
        <w:color w:val="auto"/>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dit="trackedChanges"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oa.ansteel.cn/weaver/weaver.file.FileDownloadForNews?uuid=18a394d8-a0db-4f4e-b2ae-e9611c91c235&amp;fileid=9425821&amp;type=document&amp;isofficeview=0"/>
  </w:docVars>
  <w:rsids>
    <w:rsidRoot w:val="00DF20D3"/>
    <w:rsid w:val="00002990"/>
    <w:rsid w:val="00003508"/>
    <w:rsid w:val="000066A5"/>
    <w:rsid w:val="000164CE"/>
    <w:rsid w:val="0002005C"/>
    <w:rsid w:val="000259F9"/>
    <w:rsid w:val="00043246"/>
    <w:rsid w:val="00053F96"/>
    <w:rsid w:val="00066F29"/>
    <w:rsid w:val="000A5C0F"/>
    <w:rsid w:val="000B1482"/>
    <w:rsid w:val="000B1DBB"/>
    <w:rsid w:val="000C0A64"/>
    <w:rsid w:val="000D5A00"/>
    <w:rsid w:val="000E7C5B"/>
    <w:rsid w:val="000F7E9D"/>
    <w:rsid w:val="00103D2D"/>
    <w:rsid w:val="0011308F"/>
    <w:rsid w:val="001156F9"/>
    <w:rsid w:val="001256FF"/>
    <w:rsid w:val="001270B5"/>
    <w:rsid w:val="0014043A"/>
    <w:rsid w:val="001454D8"/>
    <w:rsid w:val="00153F13"/>
    <w:rsid w:val="00182C56"/>
    <w:rsid w:val="0018349C"/>
    <w:rsid w:val="00184F7C"/>
    <w:rsid w:val="00197963"/>
    <w:rsid w:val="001A1A23"/>
    <w:rsid w:val="001B47F0"/>
    <w:rsid w:val="001B49C0"/>
    <w:rsid w:val="001D1DDF"/>
    <w:rsid w:val="001D2589"/>
    <w:rsid w:val="001E6AB8"/>
    <w:rsid w:val="001F0422"/>
    <w:rsid w:val="00203D59"/>
    <w:rsid w:val="00204A9F"/>
    <w:rsid w:val="00207BDE"/>
    <w:rsid w:val="00216573"/>
    <w:rsid w:val="00241245"/>
    <w:rsid w:val="00243BAB"/>
    <w:rsid w:val="0025132C"/>
    <w:rsid w:val="0025273B"/>
    <w:rsid w:val="002537A4"/>
    <w:rsid w:val="002568F9"/>
    <w:rsid w:val="00261F2A"/>
    <w:rsid w:val="00272B56"/>
    <w:rsid w:val="002763FA"/>
    <w:rsid w:val="0028214B"/>
    <w:rsid w:val="00287C5A"/>
    <w:rsid w:val="0029120E"/>
    <w:rsid w:val="002B6B76"/>
    <w:rsid w:val="002C5D3C"/>
    <w:rsid w:val="002C6168"/>
    <w:rsid w:val="002C6DEA"/>
    <w:rsid w:val="002E717E"/>
    <w:rsid w:val="002F2690"/>
    <w:rsid w:val="002F6E6D"/>
    <w:rsid w:val="00303E14"/>
    <w:rsid w:val="00306FA4"/>
    <w:rsid w:val="0031575F"/>
    <w:rsid w:val="00317DEC"/>
    <w:rsid w:val="00320654"/>
    <w:rsid w:val="00320D58"/>
    <w:rsid w:val="0032347A"/>
    <w:rsid w:val="00325FE7"/>
    <w:rsid w:val="00326C0F"/>
    <w:rsid w:val="003374BF"/>
    <w:rsid w:val="00340B41"/>
    <w:rsid w:val="00341101"/>
    <w:rsid w:val="0034262A"/>
    <w:rsid w:val="003433FD"/>
    <w:rsid w:val="003700B9"/>
    <w:rsid w:val="00383928"/>
    <w:rsid w:val="003849E7"/>
    <w:rsid w:val="00392989"/>
    <w:rsid w:val="003A40AC"/>
    <w:rsid w:val="003B36C8"/>
    <w:rsid w:val="003C16A5"/>
    <w:rsid w:val="003D2F76"/>
    <w:rsid w:val="003D75B9"/>
    <w:rsid w:val="003E0C3D"/>
    <w:rsid w:val="003E23EA"/>
    <w:rsid w:val="003E424C"/>
    <w:rsid w:val="003E4913"/>
    <w:rsid w:val="003E7B67"/>
    <w:rsid w:val="003F3290"/>
    <w:rsid w:val="003F7448"/>
    <w:rsid w:val="0040041F"/>
    <w:rsid w:val="004027B4"/>
    <w:rsid w:val="004047C8"/>
    <w:rsid w:val="004149DB"/>
    <w:rsid w:val="00414DCF"/>
    <w:rsid w:val="00414E11"/>
    <w:rsid w:val="0042081D"/>
    <w:rsid w:val="004243FA"/>
    <w:rsid w:val="00424E44"/>
    <w:rsid w:val="0042724E"/>
    <w:rsid w:val="00430E1C"/>
    <w:rsid w:val="004408D3"/>
    <w:rsid w:val="00460EFA"/>
    <w:rsid w:val="004633AA"/>
    <w:rsid w:val="004806AF"/>
    <w:rsid w:val="00494238"/>
    <w:rsid w:val="004B30F3"/>
    <w:rsid w:val="004B4023"/>
    <w:rsid w:val="004C0260"/>
    <w:rsid w:val="004C6485"/>
    <w:rsid w:val="004E0598"/>
    <w:rsid w:val="004E17F2"/>
    <w:rsid w:val="00500EA4"/>
    <w:rsid w:val="00502F21"/>
    <w:rsid w:val="005100DF"/>
    <w:rsid w:val="005107C6"/>
    <w:rsid w:val="00512F2C"/>
    <w:rsid w:val="0052074E"/>
    <w:rsid w:val="00525873"/>
    <w:rsid w:val="00533550"/>
    <w:rsid w:val="005409F9"/>
    <w:rsid w:val="0054645E"/>
    <w:rsid w:val="00550BC9"/>
    <w:rsid w:val="00556570"/>
    <w:rsid w:val="00562E0D"/>
    <w:rsid w:val="00565741"/>
    <w:rsid w:val="00565E8B"/>
    <w:rsid w:val="00570AFE"/>
    <w:rsid w:val="00575E1E"/>
    <w:rsid w:val="00581E0D"/>
    <w:rsid w:val="0059387C"/>
    <w:rsid w:val="00593A6C"/>
    <w:rsid w:val="0059548E"/>
    <w:rsid w:val="005A0407"/>
    <w:rsid w:val="005A6457"/>
    <w:rsid w:val="005B1354"/>
    <w:rsid w:val="005B2DC0"/>
    <w:rsid w:val="005B5FD8"/>
    <w:rsid w:val="005B6EE1"/>
    <w:rsid w:val="005C1B3E"/>
    <w:rsid w:val="005C36C2"/>
    <w:rsid w:val="005D494A"/>
    <w:rsid w:val="005D5688"/>
    <w:rsid w:val="005D5BBF"/>
    <w:rsid w:val="005E0D89"/>
    <w:rsid w:val="005E2BBA"/>
    <w:rsid w:val="005F2A68"/>
    <w:rsid w:val="005F7013"/>
    <w:rsid w:val="00600B1D"/>
    <w:rsid w:val="00611F1F"/>
    <w:rsid w:val="006268C8"/>
    <w:rsid w:val="006336EB"/>
    <w:rsid w:val="00652CA2"/>
    <w:rsid w:val="006544E1"/>
    <w:rsid w:val="00674CBA"/>
    <w:rsid w:val="00676973"/>
    <w:rsid w:val="0068074B"/>
    <w:rsid w:val="00682A4E"/>
    <w:rsid w:val="00684483"/>
    <w:rsid w:val="00693F4E"/>
    <w:rsid w:val="00694DA1"/>
    <w:rsid w:val="00696F1F"/>
    <w:rsid w:val="006A208D"/>
    <w:rsid w:val="006A2BE2"/>
    <w:rsid w:val="006A755B"/>
    <w:rsid w:val="006B1BCC"/>
    <w:rsid w:val="006C4F34"/>
    <w:rsid w:val="006E18B0"/>
    <w:rsid w:val="006E2CDE"/>
    <w:rsid w:val="006F0E72"/>
    <w:rsid w:val="00701F0E"/>
    <w:rsid w:val="007043B9"/>
    <w:rsid w:val="007242B5"/>
    <w:rsid w:val="00743F16"/>
    <w:rsid w:val="00745358"/>
    <w:rsid w:val="00745EFE"/>
    <w:rsid w:val="00747459"/>
    <w:rsid w:val="00747B12"/>
    <w:rsid w:val="00753558"/>
    <w:rsid w:val="00775558"/>
    <w:rsid w:val="00781D2A"/>
    <w:rsid w:val="00781F9F"/>
    <w:rsid w:val="00790416"/>
    <w:rsid w:val="007974E2"/>
    <w:rsid w:val="007C3574"/>
    <w:rsid w:val="007C5717"/>
    <w:rsid w:val="007C64D4"/>
    <w:rsid w:val="007D48D4"/>
    <w:rsid w:val="007F06C5"/>
    <w:rsid w:val="007F2F82"/>
    <w:rsid w:val="007F55C3"/>
    <w:rsid w:val="007F7774"/>
    <w:rsid w:val="00811A81"/>
    <w:rsid w:val="00817BDC"/>
    <w:rsid w:val="00824543"/>
    <w:rsid w:val="00824F61"/>
    <w:rsid w:val="00827069"/>
    <w:rsid w:val="008276F1"/>
    <w:rsid w:val="00830F5C"/>
    <w:rsid w:val="00834840"/>
    <w:rsid w:val="0083714C"/>
    <w:rsid w:val="0084280D"/>
    <w:rsid w:val="008460D3"/>
    <w:rsid w:val="008530F9"/>
    <w:rsid w:val="00855118"/>
    <w:rsid w:val="00856E38"/>
    <w:rsid w:val="00857666"/>
    <w:rsid w:val="008664F5"/>
    <w:rsid w:val="00866529"/>
    <w:rsid w:val="008723F6"/>
    <w:rsid w:val="00877A24"/>
    <w:rsid w:val="00885D6D"/>
    <w:rsid w:val="008A1294"/>
    <w:rsid w:val="008A130B"/>
    <w:rsid w:val="008A235A"/>
    <w:rsid w:val="008B1F04"/>
    <w:rsid w:val="008B2303"/>
    <w:rsid w:val="008B2E87"/>
    <w:rsid w:val="008B578B"/>
    <w:rsid w:val="008D27DF"/>
    <w:rsid w:val="008D6BB0"/>
    <w:rsid w:val="008E119E"/>
    <w:rsid w:val="008E1336"/>
    <w:rsid w:val="008F581A"/>
    <w:rsid w:val="008F6740"/>
    <w:rsid w:val="008F779B"/>
    <w:rsid w:val="00900A9D"/>
    <w:rsid w:val="00903205"/>
    <w:rsid w:val="00903A31"/>
    <w:rsid w:val="00912FBC"/>
    <w:rsid w:val="00934299"/>
    <w:rsid w:val="0093457A"/>
    <w:rsid w:val="00941B9C"/>
    <w:rsid w:val="0094372B"/>
    <w:rsid w:val="00944F68"/>
    <w:rsid w:val="00953320"/>
    <w:rsid w:val="00974559"/>
    <w:rsid w:val="00975778"/>
    <w:rsid w:val="00977350"/>
    <w:rsid w:val="00980F05"/>
    <w:rsid w:val="0099023D"/>
    <w:rsid w:val="00990ECD"/>
    <w:rsid w:val="00996DC9"/>
    <w:rsid w:val="009A05FD"/>
    <w:rsid w:val="009A1000"/>
    <w:rsid w:val="009B5DA8"/>
    <w:rsid w:val="009C04E5"/>
    <w:rsid w:val="009C1BA9"/>
    <w:rsid w:val="009C7943"/>
    <w:rsid w:val="009D4206"/>
    <w:rsid w:val="009E1E4C"/>
    <w:rsid w:val="009E4D5C"/>
    <w:rsid w:val="009F560C"/>
    <w:rsid w:val="009F5A57"/>
    <w:rsid w:val="009F5E2D"/>
    <w:rsid w:val="009F5F34"/>
    <w:rsid w:val="00A00EF5"/>
    <w:rsid w:val="00A0308E"/>
    <w:rsid w:val="00A030E2"/>
    <w:rsid w:val="00A033FD"/>
    <w:rsid w:val="00A10FCA"/>
    <w:rsid w:val="00A1145F"/>
    <w:rsid w:val="00A22FDF"/>
    <w:rsid w:val="00A259D8"/>
    <w:rsid w:val="00A34650"/>
    <w:rsid w:val="00A3669C"/>
    <w:rsid w:val="00A51C6F"/>
    <w:rsid w:val="00A53940"/>
    <w:rsid w:val="00A70711"/>
    <w:rsid w:val="00A71720"/>
    <w:rsid w:val="00A71FC8"/>
    <w:rsid w:val="00A724E1"/>
    <w:rsid w:val="00A73F01"/>
    <w:rsid w:val="00A82ADB"/>
    <w:rsid w:val="00A8572B"/>
    <w:rsid w:val="00A86B93"/>
    <w:rsid w:val="00A87858"/>
    <w:rsid w:val="00A90EEA"/>
    <w:rsid w:val="00A935AE"/>
    <w:rsid w:val="00A95F4D"/>
    <w:rsid w:val="00A97E06"/>
    <w:rsid w:val="00AA6FCE"/>
    <w:rsid w:val="00AB0AA3"/>
    <w:rsid w:val="00AB566A"/>
    <w:rsid w:val="00AB6780"/>
    <w:rsid w:val="00AC4961"/>
    <w:rsid w:val="00AD3F97"/>
    <w:rsid w:val="00AE1FE1"/>
    <w:rsid w:val="00AE71EC"/>
    <w:rsid w:val="00AF22DB"/>
    <w:rsid w:val="00B04B42"/>
    <w:rsid w:val="00B06D83"/>
    <w:rsid w:val="00B07A81"/>
    <w:rsid w:val="00B141E9"/>
    <w:rsid w:val="00B17880"/>
    <w:rsid w:val="00B327BC"/>
    <w:rsid w:val="00B336EB"/>
    <w:rsid w:val="00B36E20"/>
    <w:rsid w:val="00B37017"/>
    <w:rsid w:val="00B463B8"/>
    <w:rsid w:val="00B74EDB"/>
    <w:rsid w:val="00B764BB"/>
    <w:rsid w:val="00B824DD"/>
    <w:rsid w:val="00B90803"/>
    <w:rsid w:val="00B90840"/>
    <w:rsid w:val="00B9299C"/>
    <w:rsid w:val="00B944E1"/>
    <w:rsid w:val="00BA07A4"/>
    <w:rsid w:val="00BA3535"/>
    <w:rsid w:val="00BA49F9"/>
    <w:rsid w:val="00BB0F7C"/>
    <w:rsid w:val="00BB2477"/>
    <w:rsid w:val="00BC05B0"/>
    <w:rsid w:val="00BC293F"/>
    <w:rsid w:val="00BD1765"/>
    <w:rsid w:val="00BD2F31"/>
    <w:rsid w:val="00BE016B"/>
    <w:rsid w:val="00BF5854"/>
    <w:rsid w:val="00C00EF3"/>
    <w:rsid w:val="00C0659B"/>
    <w:rsid w:val="00C10933"/>
    <w:rsid w:val="00C143F4"/>
    <w:rsid w:val="00C149B3"/>
    <w:rsid w:val="00C20841"/>
    <w:rsid w:val="00C22835"/>
    <w:rsid w:val="00C249CD"/>
    <w:rsid w:val="00C3174F"/>
    <w:rsid w:val="00C325A4"/>
    <w:rsid w:val="00C51BD0"/>
    <w:rsid w:val="00C564B9"/>
    <w:rsid w:val="00C576C0"/>
    <w:rsid w:val="00C61625"/>
    <w:rsid w:val="00C62960"/>
    <w:rsid w:val="00C641F6"/>
    <w:rsid w:val="00C73B2E"/>
    <w:rsid w:val="00C84762"/>
    <w:rsid w:val="00C86ADF"/>
    <w:rsid w:val="00C8713D"/>
    <w:rsid w:val="00C95441"/>
    <w:rsid w:val="00C96B98"/>
    <w:rsid w:val="00CA2E34"/>
    <w:rsid w:val="00CA34E5"/>
    <w:rsid w:val="00CB6C28"/>
    <w:rsid w:val="00CB7B2F"/>
    <w:rsid w:val="00CC1DC6"/>
    <w:rsid w:val="00CE005F"/>
    <w:rsid w:val="00CE2175"/>
    <w:rsid w:val="00CF23F5"/>
    <w:rsid w:val="00D01D64"/>
    <w:rsid w:val="00D12B8A"/>
    <w:rsid w:val="00D1655A"/>
    <w:rsid w:val="00D2202E"/>
    <w:rsid w:val="00D23238"/>
    <w:rsid w:val="00D33AA3"/>
    <w:rsid w:val="00D348F2"/>
    <w:rsid w:val="00D379BB"/>
    <w:rsid w:val="00D45191"/>
    <w:rsid w:val="00D543F3"/>
    <w:rsid w:val="00D6231C"/>
    <w:rsid w:val="00D638EE"/>
    <w:rsid w:val="00D72B38"/>
    <w:rsid w:val="00D731CF"/>
    <w:rsid w:val="00D80ADA"/>
    <w:rsid w:val="00D932F0"/>
    <w:rsid w:val="00DA217A"/>
    <w:rsid w:val="00DA76D6"/>
    <w:rsid w:val="00DA788D"/>
    <w:rsid w:val="00DB527D"/>
    <w:rsid w:val="00DB6CD9"/>
    <w:rsid w:val="00DC0EDB"/>
    <w:rsid w:val="00DC57E7"/>
    <w:rsid w:val="00DD606B"/>
    <w:rsid w:val="00DD765B"/>
    <w:rsid w:val="00DE5707"/>
    <w:rsid w:val="00DF20D3"/>
    <w:rsid w:val="00DF533A"/>
    <w:rsid w:val="00E01668"/>
    <w:rsid w:val="00E01F82"/>
    <w:rsid w:val="00E04771"/>
    <w:rsid w:val="00E07EDD"/>
    <w:rsid w:val="00E14BA5"/>
    <w:rsid w:val="00E32D62"/>
    <w:rsid w:val="00E35FEE"/>
    <w:rsid w:val="00E37D4F"/>
    <w:rsid w:val="00E47DAE"/>
    <w:rsid w:val="00E54718"/>
    <w:rsid w:val="00E55254"/>
    <w:rsid w:val="00E555A9"/>
    <w:rsid w:val="00E66A90"/>
    <w:rsid w:val="00E72D80"/>
    <w:rsid w:val="00E74E95"/>
    <w:rsid w:val="00E82D93"/>
    <w:rsid w:val="00E85B8F"/>
    <w:rsid w:val="00E873AB"/>
    <w:rsid w:val="00E94D86"/>
    <w:rsid w:val="00EA67F2"/>
    <w:rsid w:val="00EB31E7"/>
    <w:rsid w:val="00EB74D8"/>
    <w:rsid w:val="00EC127C"/>
    <w:rsid w:val="00EC28FD"/>
    <w:rsid w:val="00EC4A90"/>
    <w:rsid w:val="00ED075E"/>
    <w:rsid w:val="00ED5192"/>
    <w:rsid w:val="00ED7A27"/>
    <w:rsid w:val="00EE068D"/>
    <w:rsid w:val="00EE3C1C"/>
    <w:rsid w:val="00EE7ED5"/>
    <w:rsid w:val="00EF1E31"/>
    <w:rsid w:val="00EF43CB"/>
    <w:rsid w:val="00EF53F4"/>
    <w:rsid w:val="00F10057"/>
    <w:rsid w:val="00F201FC"/>
    <w:rsid w:val="00F202F7"/>
    <w:rsid w:val="00F23671"/>
    <w:rsid w:val="00F2792F"/>
    <w:rsid w:val="00F50742"/>
    <w:rsid w:val="00F51F15"/>
    <w:rsid w:val="00F721FF"/>
    <w:rsid w:val="00F767B3"/>
    <w:rsid w:val="00F842E9"/>
    <w:rsid w:val="00F87CA1"/>
    <w:rsid w:val="00F94A18"/>
    <w:rsid w:val="00F970CB"/>
    <w:rsid w:val="00FB30EB"/>
    <w:rsid w:val="00FB4CDE"/>
    <w:rsid w:val="00FC21FA"/>
    <w:rsid w:val="00FC4D1F"/>
    <w:rsid w:val="00FD1480"/>
    <w:rsid w:val="00FF09A6"/>
    <w:rsid w:val="00FF2805"/>
    <w:rsid w:val="00FF5EEC"/>
    <w:rsid w:val="01336206"/>
    <w:rsid w:val="013C6B15"/>
    <w:rsid w:val="014856BC"/>
    <w:rsid w:val="015E4AD6"/>
    <w:rsid w:val="01AA1F42"/>
    <w:rsid w:val="01CF65E5"/>
    <w:rsid w:val="01EF720C"/>
    <w:rsid w:val="021A758E"/>
    <w:rsid w:val="025F4889"/>
    <w:rsid w:val="02884589"/>
    <w:rsid w:val="02B62AFF"/>
    <w:rsid w:val="02BD5597"/>
    <w:rsid w:val="02FA7D70"/>
    <w:rsid w:val="03453536"/>
    <w:rsid w:val="03B23B30"/>
    <w:rsid w:val="03B61C6C"/>
    <w:rsid w:val="03D23930"/>
    <w:rsid w:val="03F66D0E"/>
    <w:rsid w:val="04121486"/>
    <w:rsid w:val="041B1C65"/>
    <w:rsid w:val="042B1767"/>
    <w:rsid w:val="045D1166"/>
    <w:rsid w:val="04802032"/>
    <w:rsid w:val="049046F2"/>
    <w:rsid w:val="04F05FE0"/>
    <w:rsid w:val="052D6E89"/>
    <w:rsid w:val="05B25BF6"/>
    <w:rsid w:val="05D24F9A"/>
    <w:rsid w:val="06382A69"/>
    <w:rsid w:val="0679687F"/>
    <w:rsid w:val="0683733C"/>
    <w:rsid w:val="06873252"/>
    <w:rsid w:val="06D45E42"/>
    <w:rsid w:val="06F77FBA"/>
    <w:rsid w:val="06FB6681"/>
    <w:rsid w:val="072A2FCD"/>
    <w:rsid w:val="07B11FAD"/>
    <w:rsid w:val="07E96F32"/>
    <w:rsid w:val="07F74CA0"/>
    <w:rsid w:val="07FA6B19"/>
    <w:rsid w:val="08777BCA"/>
    <w:rsid w:val="08AB6949"/>
    <w:rsid w:val="08B42AD4"/>
    <w:rsid w:val="0908251A"/>
    <w:rsid w:val="092E2908"/>
    <w:rsid w:val="093079A7"/>
    <w:rsid w:val="09700C89"/>
    <w:rsid w:val="09DF6D3E"/>
    <w:rsid w:val="0A570314"/>
    <w:rsid w:val="0A700476"/>
    <w:rsid w:val="0AE031BF"/>
    <w:rsid w:val="0B112645"/>
    <w:rsid w:val="0B282212"/>
    <w:rsid w:val="0B600CB9"/>
    <w:rsid w:val="0B931810"/>
    <w:rsid w:val="0BF5493A"/>
    <w:rsid w:val="0C4D4424"/>
    <w:rsid w:val="0C615F59"/>
    <w:rsid w:val="0CBC3C74"/>
    <w:rsid w:val="0D3D3BA7"/>
    <w:rsid w:val="0D5D2504"/>
    <w:rsid w:val="0D637A57"/>
    <w:rsid w:val="0DC64126"/>
    <w:rsid w:val="0DE711DC"/>
    <w:rsid w:val="0E7F7CC0"/>
    <w:rsid w:val="0E8777CE"/>
    <w:rsid w:val="0EC41685"/>
    <w:rsid w:val="0F931E0B"/>
    <w:rsid w:val="0FB64C71"/>
    <w:rsid w:val="0FFE1FBB"/>
    <w:rsid w:val="107D690E"/>
    <w:rsid w:val="109D38CF"/>
    <w:rsid w:val="10BB05D5"/>
    <w:rsid w:val="10FF645A"/>
    <w:rsid w:val="1124740B"/>
    <w:rsid w:val="11C720B8"/>
    <w:rsid w:val="11E31281"/>
    <w:rsid w:val="123A3B4D"/>
    <w:rsid w:val="12B3683D"/>
    <w:rsid w:val="131E40C5"/>
    <w:rsid w:val="132A1569"/>
    <w:rsid w:val="132E0705"/>
    <w:rsid w:val="1348082A"/>
    <w:rsid w:val="13567763"/>
    <w:rsid w:val="13760951"/>
    <w:rsid w:val="13963C5C"/>
    <w:rsid w:val="1404365C"/>
    <w:rsid w:val="141554FB"/>
    <w:rsid w:val="141A0792"/>
    <w:rsid w:val="147765C9"/>
    <w:rsid w:val="148722D6"/>
    <w:rsid w:val="14901065"/>
    <w:rsid w:val="14922BBE"/>
    <w:rsid w:val="14DB4F49"/>
    <w:rsid w:val="15096D11"/>
    <w:rsid w:val="150E0C1B"/>
    <w:rsid w:val="155105F6"/>
    <w:rsid w:val="158E49EC"/>
    <w:rsid w:val="159E20DC"/>
    <w:rsid w:val="15F35641"/>
    <w:rsid w:val="15FB7AF5"/>
    <w:rsid w:val="16240AD9"/>
    <w:rsid w:val="165C3914"/>
    <w:rsid w:val="166B15B9"/>
    <w:rsid w:val="16C07AB0"/>
    <w:rsid w:val="16D7338C"/>
    <w:rsid w:val="16F27CD2"/>
    <w:rsid w:val="17440016"/>
    <w:rsid w:val="175707E3"/>
    <w:rsid w:val="1802084E"/>
    <w:rsid w:val="182A10E9"/>
    <w:rsid w:val="18BE1F8F"/>
    <w:rsid w:val="18F51DE0"/>
    <w:rsid w:val="18FE560D"/>
    <w:rsid w:val="192F165F"/>
    <w:rsid w:val="19810F0A"/>
    <w:rsid w:val="198951F1"/>
    <w:rsid w:val="19B7283D"/>
    <w:rsid w:val="19BE215E"/>
    <w:rsid w:val="1A637D6B"/>
    <w:rsid w:val="1A967CAD"/>
    <w:rsid w:val="1A9B20BC"/>
    <w:rsid w:val="1AB24759"/>
    <w:rsid w:val="1B051DE9"/>
    <w:rsid w:val="1B32457C"/>
    <w:rsid w:val="1BB34C01"/>
    <w:rsid w:val="1BE608D3"/>
    <w:rsid w:val="1C104F9B"/>
    <w:rsid w:val="1C2504C5"/>
    <w:rsid w:val="1C2A70A3"/>
    <w:rsid w:val="1C411A86"/>
    <w:rsid w:val="1C7068A3"/>
    <w:rsid w:val="1C7C56F5"/>
    <w:rsid w:val="1CC63E85"/>
    <w:rsid w:val="1CFF6E22"/>
    <w:rsid w:val="1D8437F8"/>
    <w:rsid w:val="1DDB225A"/>
    <w:rsid w:val="1E1234EE"/>
    <w:rsid w:val="1E140EE8"/>
    <w:rsid w:val="1E2C1090"/>
    <w:rsid w:val="1ECD00E1"/>
    <w:rsid w:val="1EDB04B2"/>
    <w:rsid w:val="1EF34CD3"/>
    <w:rsid w:val="1F003F04"/>
    <w:rsid w:val="1F4821DF"/>
    <w:rsid w:val="1F7B1734"/>
    <w:rsid w:val="1FC81341"/>
    <w:rsid w:val="1FC85FB0"/>
    <w:rsid w:val="1FE62FE2"/>
    <w:rsid w:val="201153B0"/>
    <w:rsid w:val="20562B0A"/>
    <w:rsid w:val="20BC7932"/>
    <w:rsid w:val="21856B5D"/>
    <w:rsid w:val="219924E2"/>
    <w:rsid w:val="21CB7126"/>
    <w:rsid w:val="21E11990"/>
    <w:rsid w:val="220F3E94"/>
    <w:rsid w:val="22472F81"/>
    <w:rsid w:val="22B37C7D"/>
    <w:rsid w:val="22CD4C5E"/>
    <w:rsid w:val="22DF1583"/>
    <w:rsid w:val="22F95B04"/>
    <w:rsid w:val="22FE0284"/>
    <w:rsid w:val="232C7272"/>
    <w:rsid w:val="23311ECE"/>
    <w:rsid w:val="233E21FF"/>
    <w:rsid w:val="23C47F75"/>
    <w:rsid w:val="23CE60D3"/>
    <w:rsid w:val="247A121F"/>
    <w:rsid w:val="24B23EBF"/>
    <w:rsid w:val="24BD4CDB"/>
    <w:rsid w:val="25924832"/>
    <w:rsid w:val="2602724A"/>
    <w:rsid w:val="26133E87"/>
    <w:rsid w:val="26444F82"/>
    <w:rsid w:val="264A7253"/>
    <w:rsid w:val="265A0EC9"/>
    <w:rsid w:val="26981B61"/>
    <w:rsid w:val="26B90AB9"/>
    <w:rsid w:val="26E63E5F"/>
    <w:rsid w:val="271D5431"/>
    <w:rsid w:val="27393C69"/>
    <w:rsid w:val="278065DC"/>
    <w:rsid w:val="27A41D56"/>
    <w:rsid w:val="27C82253"/>
    <w:rsid w:val="27FA1D4A"/>
    <w:rsid w:val="280113DC"/>
    <w:rsid w:val="281A493B"/>
    <w:rsid w:val="290563D8"/>
    <w:rsid w:val="2969197F"/>
    <w:rsid w:val="29A739E3"/>
    <w:rsid w:val="29B019A3"/>
    <w:rsid w:val="29BC0105"/>
    <w:rsid w:val="29FE3C9C"/>
    <w:rsid w:val="2A193D21"/>
    <w:rsid w:val="2A1E11B4"/>
    <w:rsid w:val="2A5A52C0"/>
    <w:rsid w:val="2A691E13"/>
    <w:rsid w:val="2AAE0992"/>
    <w:rsid w:val="2AE511AE"/>
    <w:rsid w:val="2AF01601"/>
    <w:rsid w:val="2B053749"/>
    <w:rsid w:val="2B0B32AA"/>
    <w:rsid w:val="2B143BB9"/>
    <w:rsid w:val="2B886352"/>
    <w:rsid w:val="2BA96B96"/>
    <w:rsid w:val="2BC059BA"/>
    <w:rsid w:val="2BD7222E"/>
    <w:rsid w:val="2BD9197C"/>
    <w:rsid w:val="2BE05F64"/>
    <w:rsid w:val="2C1B0EE8"/>
    <w:rsid w:val="2C68343C"/>
    <w:rsid w:val="2D766B80"/>
    <w:rsid w:val="2DB61F8F"/>
    <w:rsid w:val="2DDD65CB"/>
    <w:rsid w:val="2DE06617"/>
    <w:rsid w:val="2DE669DF"/>
    <w:rsid w:val="2E0F5EA0"/>
    <w:rsid w:val="2E7145F5"/>
    <w:rsid w:val="2EB377AF"/>
    <w:rsid w:val="2F121A86"/>
    <w:rsid w:val="2F31727D"/>
    <w:rsid w:val="2F594B25"/>
    <w:rsid w:val="2F9E6ABD"/>
    <w:rsid w:val="2FEC137B"/>
    <w:rsid w:val="301A556F"/>
    <w:rsid w:val="30494873"/>
    <w:rsid w:val="30597B4A"/>
    <w:rsid w:val="30794CA9"/>
    <w:rsid w:val="30AB456E"/>
    <w:rsid w:val="30C20932"/>
    <w:rsid w:val="30D30BA7"/>
    <w:rsid w:val="30EB5221"/>
    <w:rsid w:val="311D7D22"/>
    <w:rsid w:val="31512605"/>
    <w:rsid w:val="31665C75"/>
    <w:rsid w:val="316962EA"/>
    <w:rsid w:val="316C3324"/>
    <w:rsid w:val="31AD7F56"/>
    <w:rsid w:val="31E41CE9"/>
    <w:rsid w:val="31F167D5"/>
    <w:rsid w:val="32013817"/>
    <w:rsid w:val="323A353E"/>
    <w:rsid w:val="32545893"/>
    <w:rsid w:val="32576BA9"/>
    <w:rsid w:val="328A6C2A"/>
    <w:rsid w:val="328F4441"/>
    <w:rsid w:val="32EE75AE"/>
    <w:rsid w:val="330C174B"/>
    <w:rsid w:val="3356517A"/>
    <w:rsid w:val="33B1189E"/>
    <w:rsid w:val="33BB3F0F"/>
    <w:rsid w:val="33D00590"/>
    <w:rsid w:val="33D26546"/>
    <w:rsid w:val="33DE6AB5"/>
    <w:rsid w:val="33E6161B"/>
    <w:rsid w:val="343A35EC"/>
    <w:rsid w:val="347B4C9B"/>
    <w:rsid w:val="34A26271"/>
    <w:rsid w:val="34E35BD3"/>
    <w:rsid w:val="34FA4E7F"/>
    <w:rsid w:val="35A95897"/>
    <w:rsid w:val="362B1DF1"/>
    <w:rsid w:val="363C2D93"/>
    <w:rsid w:val="365868CD"/>
    <w:rsid w:val="37041A11"/>
    <w:rsid w:val="37137BF7"/>
    <w:rsid w:val="374E73F3"/>
    <w:rsid w:val="37886A7C"/>
    <w:rsid w:val="379A05C5"/>
    <w:rsid w:val="37A33ED2"/>
    <w:rsid w:val="37E11368"/>
    <w:rsid w:val="37E47F53"/>
    <w:rsid w:val="381F62A0"/>
    <w:rsid w:val="38305B3C"/>
    <w:rsid w:val="38330E26"/>
    <w:rsid w:val="384B5080"/>
    <w:rsid w:val="38564001"/>
    <w:rsid w:val="38880FAE"/>
    <w:rsid w:val="38D408CE"/>
    <w:rsid w:val="38E350E4"/>
    <w:rsid w:val="394A4C3B"/>
    <w:rsid w:val="39D864B4"/>
    <w:rsid w:val="3A9779BB"/>
    <w:rsid w:val="3A9C7E58"/>
    <w:rsid w:val="3AE7651B"/>
    <w:rsid w:val="3AE76BE1"/>
    <w:rsid w:val="3B455B08"/>
    <w:rsid w:val="3BA041D2"/>
    <w:rsid w:val="3BA05290"/>
    <w:rsid w:val="3BBF0D15"/>
    <w:rsid w:val="3CFD5DDA"/>
    <w:rsid w:val="3D0B40C2"/>
    <w:rsid w:val="3D2D322B"/>
    <w:rsid w:val="3D4134D2"/>
    <w:rsid w:val="3D8E074E"/>
    <w:rsid w:val="3DA2472E"/>
    <w:rsid w:val="3DEC7167"/>
    <w:rsid w:val="3E1403BF"/>
    <w:rsid w:val="3E592BD7"/>
    <w:rsid w:val="3E756C0B"/>
    <w:rsid w:val="3EF32DD6"/>
    <w:rsid w:val="3F1952CB"/>
    <w:rsid w:val="3F95733A"/>
    <w:rsid w:val="3FDA1829"/>
    <w:rsid w:val="40387BEA"/>
    <w:rsid w:val="406854C8"/>
    <w:rsid w:val="40783178"/>
    <w:rsid w:val="409B7B09"/>
    <w:rsid w:val="40BF685B"/>
    <w:rsid w:val="40F84222"/>
    <w:rsid w:val="41467779"/>
    <w:rsid w:val="41502FA7"/>
    <w:rsid w:val="41A13939"/>
    <w:rsid w:val="41BC6714"/>
    <w:rsid w:val="41F07B7D"/>
    <w:rsid w:val="431D61E8"/>
    <w:rsid w:val="439D1620"/>
    <w:rsid w:val="43A86F8C"/>
    <w:rsid w:val="43DD798A"/>
    <w:rsid w:val="43F07E52"/>
    <w:rsid w:val="440C3F4D"/>
    <w:rsid w:val="44314EEC"/>
    <w:rsid w:val="446C55DF"/>
    <w:rsid w:val="44A16446"/>
    <w:rsid w:val="44D37253"/>
    <w:rsid w:val="44DB3715"/>
    <w:rsid w:val="45337FA9"/>
    <w:rsid w:val="45500BC7"/>
    <w:rsid w:val="45662D6A"/>
    <w:rsid w:val="457E4528"/>
    <w:rsid w:val="45876B22"/>
    <w:rsid w:val="459E15C7"/>
    <w:rsid w:val="45BE0CCB"/>
    <w:rsid w:val="45D668A1"/>
    <w:rsid w:val="46092573"/>
    <w:rsid w:val="4628508A"/>
    <w:rsid w:val="46385F52"/>
    <w:rsid w:val="46720BD5"/>
    <w:rsid w:val="46924A56"/>
    <w:rsid w:val="46961284"/>
    <w:rsid w:val="46A64EB0"/>
    <w:rsid w:val="474C0379"/>
    <w:rsid w:val="476105A6"/>
    <w:rsid w:val="479C078C"/>
    <w:rsid w:val="47D4477F"/>
    <w:rsid w:val="484C1840"/>
    <w:rsid w:val="48643D4D"/>
    <w:rsid w:val="486F4898"/>
    <w:rsid w:val="48865579"/>
    <w:rsid w:val="48A65252"/>
    <w:rsid w:val="49781705"/>
    <w:rsid w:val="498447B9"/>
    <w:rsid w:val="49896383"/>
    <w:rsid w:val="49A16778"/>
    <w:rsid w:val="49A81BEF"/>
    <w:rsid w:val="49CF7149"/>
    <w:rsid w:val="49E71182"/>
    <w:rsid w:val="4A24773B"/>
    <w:rsid w:val="4A855EDA"/>
    <w:rsid w:val="4AFC6365"/>
    <w:rsid w:val="4B042ECB"/>
    <w:rsid w:val="4B454A0A"/>
    <w:rsid w:val="4B6B76F8"/>
    <w:rsid w:val="4BFE1C3A"/>
    <w:rsid w:val="4C651AE6"/>
    <w:rsid w:val="4D155616"/>
    <w:rsid w:val="4D1B78C6"/>
    <w:rsid w:val="4D4B3976"/>
    <w:rsid w:val="4D4D39A0"/>
    <w:rsid w:val="4D51318A"/>
    <w:rsid w:val="4DED4962"/>
    <w:rsid w:val="4DFB5E47"/>
    <w:rsid w:val="4E122965"/>
    <w:rsid w:val="4E241265"/>
    <w:rsid w:val="4E6D0B88"/>
    <w:rsid w:val="4E7705B8"/>
    <w:rsid w:val="4E9F3F29"/>
    <w:rsid w:val="4EA8761A"/>
    <w:rsid w:val="4ED50C74"/>
    <w:rsid w:val="4EE52608"/>
    <w:rsid w:val="4EF41399"/>
    <w:rsid w:val="4EF61477"/>
    <w:rsid w:val="4F3D0BF1"/>
    <w:rsid w:val="4F6B58B7"/>
    <w:rsid w:val="4F9F6FD7"/>
    <w:rsid w:val="4FB94029"/>
    <w:rsid w:val="505A3FA1"/>
    <w:rsid w:val="50701184"/>
    <w:rsid w:val="514762C2"/>
    <w:rsid w:val="51782CEA"/>
    <w:rsid w:val="51B97812"/>
    <w:rsid w:val="52295F56"/>
    <w:rsid w:val="527A794C"/>
    <w:rsid w:val="52915178"/>
    <w:rsid w:val="52AC1DB3"/>
    <w:rsid w:val="52FD68DB"/>
    <w:rsid w:val="53620E89"/>
    <w:rsid w:val="53951D31"/>
    <w:rsid w:val="53D84333"/>
    <w:rsid w:val="53ED661C"/>
    <w:rsid w:val="546339C8"/>
    <w:rsid w:val="54720EB2"/>
    <w:rsid w:val="54FC50F0"/>
    <w:rsid w:val="553C63D1"/>
    <w:rsid w:val="5551605C"/>
    <w:rsid w:val="55571488"/>
    <w:rsid w:val="55C21041"/>
    <w:rsid w:val="55D33890"/>
    <w:rsid w:val="55D80A20"/>
    <w:rsid w:val="55FB249F"/>
    <w:rsid w:val="560662B2"/>
    <w:rsid w:val="56524C7D"/>
    <w:rsid w:val="56A241DD"/>
    <w:rsid w:val="56AA4FB9"/>
    <w:rsid w:val="56ED0A7C"/>
    <w:rsid w:val="57095CA7"/>
    <w:rsid w:val="572D04A4"/>
    <w:rsid w:val="577478FE"/>
    <w:rsid w:val="578031DC"/>
    <w:rsid w:val="57C00B06"/>
    <w:rsid w:val="57C207F0"/>
    <w:rsid w:val="57FD5624"/>
    <w:rsid w:val="57FF5568"/>
    <w:rsid w:val="58160494"/>
    <w:rsid w:val="582043A3"/>
    <w:rsid w:val="582B4E96"/>
    <w:rsid w:val="588B0E82"/>
    <w:rsid w:val="5891595B"/>
    <w:rsid w:val="58AF616D"/>
    <w:rsid w:val="58E14324"/>
    <w:rsid w:val="58E6664F"/>
    <w:rsid w:val="593773EE"/>
    <w:rsid w:val="59575208"/>
    <w:rsid w:val="59974E89"/>
    <w:rsid w:val="5A0238C5"/>
    <w:rsid w:val="5A284778"/>
    <w:rsid w:val="5A9164F8"/>
    <w:rsid w:val="5A995D31"/>
    <w:rsid w:val="5AED79B9"/>
    <w:rsid w:val="5AF12604"/>
    <w:rsid w:val="5B656B0D"/>
    <w:rsid w:val="5BD3099F"/>
    <w:rsid w:val="5BD35183"/>
    <w:rsid w:val="5C203790"/>
    <w:rsid w:val="5C457071"/>
    <w:rsid w:val="5CB86B49"/>
    <w:rsid w:val="5CC30F7C"/>
    <w:rsid w:val="5CD063D2"/>
    <w:rsid w:val="5D0A06A0"/>
    <w:rsid w:val="5D5F6DFB"/>
    <w:rsid w:val="5D79238A"/>
    <w:rsid w:val="5DF271A3"/>
    <w:rsid w:val="5E464238"/>
    <w:rsid w:val="5E6253BD"/>
    <w:rsid w:val="5EA964DB"/>
    <w:rsid w:val="5EBE37B0"/>
    <w:rsid w:val="5EF64B7B"/>
    <w:rsid w:val="5EFF6126"/>
    <w:rsid w:val="5F3D1CE0"/>
    <w:rsid w:val="5F8718CA"/>
    <w:rsid w:val="5FD05452"/>
    <w:rsid w:val="60026F71"/>
    <w:rsid w:val="60463910"/>
    <w:rsid w:val="610C1548"/>
    <w:rsid w:val="612C6D79"/>
    <w:rsid w:val="61675D8D"/>
    <w:rsid w:val="61B8387D"/>
    <w:rsid w:val="61F45A58"/>
    <w:rsid w:val="6251635C"/>
    <w:rsid w:val="625C216F"/>
    <w:rsid w:val="62971CC8"/>
    <w:rsid w:val="63080089"/>
    <w:rsid w:val="631557D0"/>
    <w:rsid w:val="631F019A"/>
    <w:rsid w:val="636C02CD"/>
    <w:rsid w:val="63953DDD"/>
    <w:rsid w:val="639D057D"/>
    <w:rsid w:val="63A10674"/>
    <w:rsid w:val="63A24B8B"/>
    <w:rsid w:val="646002BB"/>
    <w:rsid w:val="64BC4E58"/>
    <w:rsid w:val="64D427F8"/>
    <w:rsid w:val="64E025B3"/>
    <w:rsid w:val="651313E3"/>
    <w:rsid w:val="654308AD"/>
    <w:rsid w:val="656B20C3"/>
    <w:rsid w:val="657C6E9B"/>
    <w:rsid w:val="6598383A"/>
    <w:rsid w:val="659E069C"/>
    <w:rsid w:val="65C11D1F"/>
    <w:rsid w:val="667C0CE5"/>
    <w:rsid w:val="670E396D"/>
    <w:rsid w:val="671C260C"/>
    <w:rsid w:val="675F46C9"/>
    <w:rsid w:val="677840D0"/>
    <w:rsid w:val="67820EC6"/>
    <w:rsid w:val="67945BFF"/>
    <w:rsid w:val="67A6558D"/>
    <w:rsid w:val="6825284D"/>
    <w:rsid w:val="687746BD"/>
    <w:rsid w:val="68791A29"/>
    <w:rsid w:val="68DC4FB6"/>
    <w:rsid w:val="68F61AAF"/>
    <w:rsid w:val="69230D50"/>
    <w:rsid w:val="69627765"/>
    <w:rsid w:val="699A1559"/>
    <w:rsid w:val="69B76B7E"/>
    <w:rsid w:val="6A516D7C"/>
    <w:rsid w:val="6A7F6726"/>
    <w:rsid w:val="6ACC4DCB"/>
    <w:rsid w:val="6AFA325A"/>
    <w:rsid w:val="6AFC6BD4"/>
    <w:rsid w:val="6B7E7A66"/>
    <w:rsid w:val="6B850073"/>
    <w:rsid w:val="6B8922E9"/>
    <w:rsid w:val="6BA96FAE"/>
    <w:rsid w:val="6BD80588"/>
    <w:rsid w:val="6C072BCA"/>
    <w:rsid w:val="6C156996"/>
    <w:rsid w:val="6C1C7490"/>
    <w:rsid w:val="6C6D1D03"/>
    <w:rsid w:val="6CF97F3E"/>
    <w:rsid w:val="6CFA3457"/>
    <w:rsid w:val="6DCF03B7"/>
    <w:rsid w:val="6DF21471"/>
    <w:rsid w:val="6E030AA0"/>
    <w:rsid w:val="6E2860C8"/>
    <w:rsid w:val="6E354AF9"/>
    <w:rsid w:val="702533F2"/>
    <w:rsid w:val="704476BC"/>
    <w:rsid w:val="706743F9"/>
    <w:rsid w:val="70967F6C"/>
    <w:rsid w:val="70D20225"/>
    <w:rsid w:val="710F661A"/>
    <w:rsid w:val="71190983"/>
    <w:rsid w:val="71465FE5"/>
    <w:rsid w:val="7150512A"/>
    <w:rsid w:val="71E031A2"/>
    <w:rsid w:val="723B77F7"/>
    <w:rsid w:val="726128F1"/>
    <w:rsid w:val="73C572FE"/>
    <w:rsid w:val="74273E46"/>
    <w:rsid w:val="745558E8"/>
    <w:rsid w:val="746C43AE"/>
    <w:rsid w:val="747D2A5F"/>
    <w:rsid w:val="74B6785C"/>
    <w:rsid w:val="75296249"/>
    <w:rsid w:val="752A6BC5"/>
    <w:rsid w:val="756A5430"/>
    <w:rsid w:val="758E7376"/>
    <w:rsid w:val="760B06B8"/>
    <w:rsid w:val="763F670D"/>
    <w:rsid w:val="77131CA6"/>
    <w:rsid w:val="772939C2"/>
    <w:rsid w:val="775E2934"/>
    <w:rsid w:val="778E7BEF"/>
    <w:rsid w:val="779B69C9"/>
    <w:rsid w:val="77D04D8B"/>
    <w:rsid w:val="77D44943"/>
    <w:rsid w:val="77FB2266"/>
    <w:rsid w:val="780E7B98"/>
    <w:rsid w:val="78A95882"/>
    <w:rsid w:val="78F96FBE"/>
    <w:rsid w:val="79003422"/>
    <w:rsid w:val="79764FD6"/>
    <w:rsid w:val="79DB25C0"/>
    <w:rsid w:val="7A4471D0"/>
    <w:rsid w:val="7A621B97"/>
    <w:rsid w:val="7A654135"/>
    <w:rsid w:val="7AA874E1"/>
    <w:rsid w:val="7AB65962"/>
    <w:rsid w:val="7B7E1B28"/>
    <w:rsid w:val="7B824F6F"/>
    <w:rsid w:val="7BD771E5"/>
    <w:rsid w:val="7C4A40EC"/>
    <w:rsid w:val="7C611827"/>
    <w:rsid w:val="7C6C2167"/>
    <w:rsid w:val="7CF03F88"/>
    <w:rsid w:val="7CF50A4F"/>
    <w:rsid w:val="7D3013FD"/>
    <w:rsid w:val="7D3C6277"/>
    <w:rsid w:val="7DA16716"/>
    <w:rsid w:val="7E923B03"/>
    <w:rsid w:val="7EA832D9"/>
    <w:rsid w:val="7ED05532"/>
    <w:rsid w:val="7EDF0AE5"/>
    <w:rsid w:val="7F7348B8"/>
    <w:rsid w:val="7F772AA9"/>
    <w:rsid w:val="7F8E729F"/>
    <w:rsid w:val="7FD14040"/>
    <w:rsid w:val="7FE80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qFormat="1" w:unhideWhenUsed="0"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30"/>
    <w:qFormat/>
    <w:uiPriority w:val="0"/>
    <w:pPr>
      <w:jc w:val="center"/>
    </w:pPr>
    <w:rPr>
      <w:rFonts w:ascii="Times New Roman" w:hAnsi="Times New Roman" w:eastAsia="黑体" w:cs="Times New Roman"/>
      <w:sz w:val="44"/>
      <w:szCs w:val="24"/>
    </w:rPr>
  </w:style>
  <w:style w:type="paragraph" w:styleId="3">
    <w:name w:val="toc 3"/>
    <w:basedOn w:val="1"/>
    <w:next w:val="1"/>
    <w:qFormat/>
    <w:uiPriority w:val="0"/>
    <w:pPr>
      <w:widowControl/>
      <w:wordWrap w:val="0"/>
      <w:ind w:left="425"/>
      <w:jc w:val="both"/>
    </w:pPr>
    <w:rPr>
      <w:rFonts w:hint="eastAsia" w:ascii="宋体" w:hAnsi="宋体" w:eastAsia="宋体" w:cs="宋体"/>
      <w:kern w:val="0"/>
      <w:sz w:val="21"/>
      <w:szCs w:val="21"/>
      <w:lang w:val="en-US" w:eastAsia="zh-CN" w:bidi="ar"/>
    </w:rPr>
  </w:style>
  <w:style w:type="paragraph" w:styleId="4">
    <w:name w:val="Normal Indent"/>
    <w:basedOn w:val="1"/>
    <w:next w:val="1"/>
    <w:qFormat/>
    <w:uiPriority w:val="0"/>
    <w:pPr>
      <w:ind w:firstLine="420"/>
    </w:pPr>
  </w:style>
  <w:style w:type="paragraph" w:styleId="5">
    <w:name w:val="Document Map"/>
    <w:basedOn w:val="1"/>
    <w:link w:val="26"/>
    <w:semiHidden/>
    <w:qFormat/>
    <w:uiPriority w:val="99"/>
    <w:pPr>
      <w:shd w:val="clear" w:color="auto" w:fill="000080"/>
    </w:pPr>
    <w:rPr>
      <w:rFonts w:ascii="Calibri" w:hAnsi="Calibri" w:eastAsia="宋体" w:cs="Calibri"/>
      <w:szCs w:val="21"/>
    </w:rPr>
  </w:style>
  <w:style w:type="paragraph" w:styleId="6">
    <w:name w:val="annotation text"/>
    <w:basedOn w:val="1"/>
    <w:link w:val="27"/>
    <w:semiHidden/>
    <w:qFormat/>
    <w:uiPriority w:val="99"/>
    <w:pPr>
      <w:jc w:val="left"/>
    </w:pPr>
    <w:rPr>
      <w:rFonts w:ascii="Calibri" w:hAnsi="Calibri" w:eastAsia="宋体" w:cs="Calibri"/>
      <w:szCs w:val="21"/>
    </w:rPr>
  </w:style>
  <w:style w:type="paragraph" w:styleId="7">
    <w:name w:val="Block Text"/>
    <w:basedOn w:val="1"/>
    <w:unhideWhenUsed/>
    <w:qFormat/>
    <w:uiPriority w:val="99"/>
    <w:pPr>
      <w:spacing w:line="480" w:lineRule="exact"/>
      <w:ind w:left="-416" w:right="-44" w:firstLine="10"/>
    </w:pPr>
    <w:rPr>
      <w:rFonts w:ascii="宋体" w:hAnsi="Times New Roman" w:eastAsia="宋体" w:cs="Times New Roman"/>
      <w:sz w:val="24"/>
    </w:rPr>
  </w:style>
  <w:style w:type="paragraph" w:styleId="8">
    <w:name w:val="endnote text"/>
    <w:basedOn w:val="1"/>
    <w:link w:val="29"/>
    <w:semiHidden/>
    <w:qFormat/>
    <w:uiPriority w:val="99"/>
    <w:pPr>
      <w:snapToGrid w:val="0"/>
      <w:jc w:val="left"/>
    </w:pPr>
    <w:rPr>
      <w:rFonts w:ascii="Calibri" w:hAnsi="Calibri" w:eastAsia="宋体" w:cs="Calibri"/>
      <w:szCs w:val="21"/>
    </w:rPr>
  </w:style>
  <w:style w:type="paragraph" w:styleId="9">
    <w:name w:val="Balloon Text"/>
    <w:basedOn w:val="1"/>
    <w:link w:val="24"/>
    <w:semiHidden/>
    <w:qFormat/>
    <w:uiPriority w:val="99"/>
    <w:rPr>
      <w:rFonts w:ascii="Calibri" w:hAnsi="Calibri" w:eastAsia="宋体" w:cs="Calibri"/>
      <w:sz w:val="18"/>
      <w:szCs w:val="18"/>
    </w:rPr>
  </w:style>
  <w:style w:type="paragraph" w:styleId="10">
    <w:name w:val="footer"/>
    <w:basedOn w:val="1"/>
    <w:link w:val="21"/>
    <w:unhideWhenUsed/>
    <w:qFormat/>
    <w:uiPriority w:val="99"/>
    <w:pPr>
      <w:tabs>
        <w:tab w:val="center" w:pos="4153"/>
        <w:tab w:val="right" w:pos="8306"/>
      </w:tabs>
      <w:snapToGrid w:val="0"/>
      <w:jc w:val="left"/>
    </w:pPr>
    <w:rPr>
      <w:sz w:val="18"/>
      <w:szCs w:val="18"/>
    </w:rPr>
  </w:style>
  <w:style w:type="paragraph" w:styleId="11">
    <w:name w:val="header"/>
    <w:basedOn w:val="1"/>
    <w:link w:val="2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annotation subject"/>
    <w:basedOn w:val="6"/>
    <w:next w:val="6"/>
    <w:link w:val="28"/>
    <w:semiHidden/>
    <w:qFormat/>
    <w:uiPriority w:val="99"/>
    <w:rPr>
      <w:b/>
      <w:bCs/>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endnote reference"/>
    <w:basedOn w:val="16"/>
    <w:semiHidden/>
    <w:qFormat/>
    <w:uiPriority w:val="99"/>
    <w:rPr>
      <w:rFonts w:cs="Times New Roman" w:asciiTheme="minorHAnsi" w:hAnsiTheme="minorHAnsi" w:eastAsiaTheme="minorEastAsia"/>
      <w:vertAlign w:val="superscript"/>
    </w:rPr>
  </w:style>
  <w:style w:type="character" w:styleId="18">
    <w:name w:val="page number"/>
    <w:basedOn w:val="16"/>
    <w:qFormat/>
    <w:uiPriority w:val="99"/>
    <w:rPr>
      <w:rFonts w:cs="Times New Roman" w:asciiTheme="minorHAnsi" w:hAnsiTheme="minorHAnsi" w:eastAsiaTheme="minorEastAsia"/>
    </w:rPr>
  </w:style>
  <w:style w:type="character" w:styleId="19">
    <w:name w:val="Hyperlink"/>
    <w:basedOn w:val="16"/>
    <w:unhideWhenUsed/>
    <w:qFormat/>
    <w:uiPriority w:val="99"/>
    <w:rPr>
      <w:rFonts w:asciiTheme="minorHAnsi" w:hAnsiTheme="minorHAnsi" w:eastAsiaTheme="minorEastAsia" w:cstheme="minorBidi"/>
      <w:color w:val="0000FF" w:themeColor="hyperlink"/>
      <w:u w:val="single"/>
      <w14:textFill>
        <w14:solidFill>
          <w14:schemeClr w14:val="hlink"/>
        </w14:solidFill>
      </w14:textFill>
    </w:rPr>
  </w:style>
  <w:style w:type="character" w:styleId="20">
    <w:name w:val="annotation reference"/>
    <w:basedOn w:val="16"/>
    <w:semiHidden/>
    <w:qFormat/>
    <w:uiPriority w:val="99"/>
    <w:rPr>
      <w:rFonts w:cs="Times New Roman" w:asciiTheme="minorHAnsi" w:hAnsiTheme="minorHAnsi" w:eastAsiaTheme="minorEastAsia"/>
      <w:sz w:val="21"/>
      <w:szCs w:val="21"/>
    </w:rPr>
  </w:style>
  <w:style w:type="character" w:customStyle="1" w:styleId="21">
    <w:name w:val="页脚 Char"/>
    <w:basedOn w:val="16"/>
    <w:link w:val="10"/>
    <w:qFormat/>
    <w:uiPriority w:val="0"/>
    <w:rPr>
      <w:rFonts w:ascii="Times New Roman" w:hAnsi="Times New Roman" w:eastAsia="宋体" w:cs="Times New Roman"/>
      <w:sz w:val="18"/>
      <w:szCs w:val="18"/>
    </w:rPr>
  </w:style>
  <w:style w:type="character" w:customStyle="1" w:styleId="22">
    <w:name w:val="页眉 Char"/>
    <w:basedOn w:val="16"/>
    <w:link w:val="11"/>
    <w:qFormat/>
    <w:uiPriority w:val="99"/>
    <w:rPr>
      <w:rFonts w:asciiTheme="minorHAnsi" w:hAnsiTheme="minorHAnsi" w:eastAsiaTheme="minorEastAsia" w:cstheme="minorBidi"/>
      <w:sz w:val="18"/>
      <w:szCs w:val="18"/>
    </w:rPr>
  </w:style>
  <w:style w:type="paragraph" w:customStyle="1" w:styleId="23">
    <w:name w:val="列出段落1"/>
    <w:basedOn w:val="1"/>
    <w:qFormat/>
    <w:uiPriority w:val="99"/>
    <w:pPr>
      <w:ind w:firstLine="420" w:firstLineChars="200"/>
    </w:pPr>
    <w:rPr>
      <w:rFonts w:ascii="Calibri" w:hAnsi="Calibri" w:eastAsia="宋体" w:cs="Calibri"/>
      <w:szCs w:val="21"/>
    </w:rPr>
  </w:style>
  <w:style w:type="character" w:customStyle="1" w:styleId="24">
    <w:name w:val="批注框文本 Char"/>
    <w:basedOn w:val="16"/>
    <w:link w:val="9"/>
    <w:semiHidden/>
    <w:qFormat/>
    <w:uiPriority w:val="99"/>
    <w:rPr>
      <w:rFonts w:ascii="Calibri" w:hAnsi="Calibri" w:eastAsia="宋体" w:cs="Calibri"/>
      <w:sz w:val="18"/>
      <w:szCs w:val="18"/>
    </w:rPr>
  </w:style>
  <w:style w:type="paragraph" w:customStyle="1" w:styleId="25">
    <w:name w:val="Char Char Char1 Char Char Char Char"/>
    <w:basedOn w:val="5"/>
    <w:qFormat/>
    <w:uiPriority w:val="99"/>
    <w:rPr>
      <w:rFonts w:ascii="Tahoma" w:hAnsi="Tahoma" w:cs="Tahoma"/>
      <w:sz w:val="24"/>
      <w:szCs w:val="24"/>
    </w:rPr>
  </w:style>
  <w:style w:type="character" w:customStyle="1" w:styleId="26">
    <w:name w:val="文档结构图 Char"/>
    <w:basedOn w:val="16"/>
    <w:link w:val="5"/>
    <w:semiHidden/>
    <w:qFormat/>
    <w:uiPriority w:val="99"/>
    <w:rPr>
      <w:rFonts w:ascii="Calibri" w:hAnsi="Calibri" w:eastAsia="宋体" w:cs="Calibri"/>
      <w:szCs w:val="21"/>
    </w:rPr>
  </w:style>
  <w:style w:type="character" w:customStyle="1" w:styleId="27">
    <w:name w:val="批注文字 Char"/>
    <w:basedOn w:val="16"/>
    <w:link w:val="6"/>
    <w:semiHidden/>
    <w:qFormat/>
    <w:uiPriority w:val="99"/>
    <w:rPr>
      <w:rFonts w:ascii="Calibri" w:hAnsi="Calibri" w:eastAsia="宋体" w:cs="Calibri"/>
      <w:szCs w:val="21"/>
    </w:rPr>
  </w:style>
  <w:style w:type="character" w:customStyle="1" w:styleId="28">
    <w:name w:val="批注主题 Char"/>
    <w:basedOn w:val="27"/>
    <w:link w:val="13"/>
    <w:semiHidden/>
    <w:qFormat/>
    <w:uiPriority w:val="99"/>
    <w:rPr>
      <w:b/>
      <w:bCs/>
    </w:rPr>
  </w:style>
  <w:style w:type="character" w:customStyle="1" w:styleId="29">
    <w:name w:val="尾注文本 Char"/>
    <w:basedOn w:val="16"/>
    <w:link w:val="8"/>
    <w:semiHidden/>
    <w:qFormat/>
    <w:uiPriority w:val="99"/>
    <w:rPr>
      <w:rFonts w:ascii="Calibri" w:hAnsi="Calibri" w:eastAsia="宋体" w:cs="Calibri"/>
      <w:szCs w:val="21"/>
    </w:rPr>
  </w:style>
  <w:style w:type="character" w:customStyle="1" w:styleId="30">
    <w:name w:val="正文文本 Char"/>
    <w:basedOn w:val="16"/>
    <w:link w:val="2"/>
    <w:qFormat/>
    <w:uiPriority w:val="0"/>
    <w:rPr>
      <w:rFonts w:ascii="Times New Roman" w:hAnsi="Times New Roman" w:eastAsia="黑体" w:cs="Times New Roman"/>
      <w:sz w:val="44"/>
      <w:szCs w:val="24"/>
    </w:rPr>
  </w:style>
  <w:style w:type="paragraph" w:customStyle="1" w:styleId="31">
    <w:name w:val="p0"/>
    <w:basedOn w:val="1"/>
    <w:qFormat/>
    <w:uiPriority w:val="0"/>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031E9-73D0-4162-9592-C1A7CAC87621}">
  <ds:schemaRefs/>
</ds:datastoreItem>
</file>

<file path=docProps/app.xml><?xml version="1.0" encoding="utf-8"?>
<Properties xmlns="http://schemas.openxmlformats.org/officeDocument/2006/extended-properties" xmlns:vt="http://schemas.openxmlformats.org/officeDocument/2006/docPropsVTypes">
  <Template>Normal.dotm</Template>
  <Company>SkyUN.Org</Company>
  <Pages>15</Pages>
  <Words>7179</Words>
  <Characters>7323</Characters>
  <Lines>84</Lines>
  <Paragraphs>23</Paragraphs>
  <TotalTime>74</TotalTime>
  <ScaleCrop>false</ScaleCrop>
  <LinksUpToDate>false</LinksUpToDate>
  <CharactersWithSpaces>7358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2020-10-22T02:37:00Z</dcterms:created>
  <dc:creator>崔丽丽</dc:creator>
  <cp:lastModifiedBy>崔丽丽</cp:lastModifiedBy>
  <cp:lastPrinted>2026-09-28T06:52:00Z</cp:lastPrinted>
  <dcterms:modified xsi:type="dcterms:W3CDTF">2026-10-12T08:36:31Z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681AE6222B644EFFB3A6BD19EA4A99BA</vt:lpwstr>
  </property>
</Properties>
</file>