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00" w:after="200"/>
        <w:jc w:val="center"/>
        <w:rPr>
          <w:rFonts w:hint="eastAsia" w:ascii="宋体" w:hAnsi="宋体" w:eastAsia="宋体" w:cs="宋体"/>
          <w:b/>
          <w:bCs/>
          <w:sz w:val="36"/>
          <w:szCs w:val="36"/>
          <w:lang w:eastAsia="zh-CN"/>
        </w:rPr>
      </w:pPr>
    </w:p>
    <w:p>
      <w:pPr>
        <w:spacing w:before="600" w:after="200"/>
        <w:jc w:val="center"/>
        <w:rPr>
          <w:rFonts w:hint="eastAsia" w:ascii="宋体" w:hAnsi="宋体" w:eastAsia="宋体" w:cs="宋体"/>
          <w:b/>
          <w:bCs/>
          <w:sz w:val="36"/>
          <w:szCs w:val="36"/>
          <w:lang w:eastAsia="zh-CN"/>
        </w:rPr>
      </w:pPr>
    </w:p>
    <w:p>
      <w:pPr>
        <w:spacing w:before="600" w:after="200"/>
        <w:jc w:val="center"/>
        <w:rPr>
          <w:rFonts w:hint="eastAsia" w:ascii="宋体" w:hAnsi="宋体" w:eastAsia="宋体" w:cs="宋体"/>
          <w:b/>
          <w:bCs/>
          <w:sz w:val="36"/>
          <w:szCs w:val="36"/>
          <w:lang w:eastAsia="zh-CN"/>
        </w:rPr>
      </w:pPr>
    </w:p>
    <w:p>
      <w:pPr>
        <w:spacing w:before="600" w:after="200"/>
        <w:jc w:val="center"/>
        <w:rPr>
          <w:rFonts w:hint="default" w:ascii="宋体" w:hAnsi="宋体" w:eastAsia="宋体" w:cs="宋体"/>
          <w:b/>
          <w:bCs/>
          <w:sz w:val="36"/>
          <w:szCs w:val="36"/>
          <w:lang w:val="en-US"/>
        </w:rPr>
      </w:pPr>
      <w:r>
        <w:rPr>
          <w:rFonts w:hint="eastAsia" w:ascii="宋体" w:hAnsi="宋体" w:eastAsia="宋体" w:cs="宋体"/>
          <w:b/>
          <w:bCs/>
          <w:sz w:val="36"/>
          <w:szCs w:val="36"/>
          <w:lang w:eastAsia="zh-CN"/>
        </w:rPr>
        <w:t>锌锭</w:t>
      </w:r>
      <w:r>
        <w:rPr>
          <w:rFonts w:hint="eastAsia" w:ascii="宋体" w:hAnsi="宋体" w:eastAsia="宋体" w:cs="宋体"/>
          <w:b/>
          <w:bCs/>
          <w:sz w:val="36"/>
          <w:szCs w:val="36"/>
          <w:lang w:val="en-US" w:eastAsia="zh-CN"/>
        </w:rPr>
        <w:t>仓储</w:t>
      </w:r>
      <w:r>
        <w:rPr>
          <w:rFonts w:hint="eastAsia" w:ascii="宋体" w:hAnsi="宋体" w:eastAsia="宋体" w:cs="宋体"/>
          <w:b/>
          <w:bCs/>
          <w:sz w:val="36"/>
          <w:szCs w:val="36"/>
          <w:lang w:eastAsia="zh-CN"/>
        </w:rPr>
        <w:t>管</w:t>
      </w:r>
      <w:r>
        <w:rPr>
          <w:rFonts w:hint="eastAsia" w:ascii="宋体" w:hAnsi="宋体" w:eastAsia="宋体" w:cs="宋体"/>
          <w:b/>
          <w:bCs/>
          <w:sz w:val="36"/>
          <w:szCs w:val="36"/>
          <w:lang w:val="en-US" w:eastAsia="zh-CN"/>
        </w:rPr>
        <w:t>理生产调配系统</w:t>
      </w:r>
    </w:p>
    <w:p>
      <w:pPr>
        <w:spacing w:before="100" w:after="400"/>
        <w:jc w:val="center"/>
        <w:rPr>
          <w:rFonts w:hint="eastAsia" w:ascii="宋体" w:hAnsi="宋体" w:eastAsia="宋体" w:cs="宋体"/>
          <w:sz w:val="36"/>
          <w:szCs w:val="36"/>
        </w:rPr>
      </w:pPr>
      <w:r>
        <w:rPr>
          <w:rFonts w:hint="eastAsia" w:ascii="宋体" w:hAnsi="宋体" w:eastAsia="宋体" w:cs="宋体"/>
          <w:b/>
          <w:bCs/>
          <w:sz w:val="36"/>
          <w:szCs w:val="36"/>
        </w:rPr>
        <w:t>技术要求</w:t>
      </w:r>
    </w:p>
    <w:p>
      <w:pPr>
        <w:ind w:left="960" w:right="885"/>
        <w:rPr>
          <w:rFonts w:ascii="宋体" w:hAnsi="宋体" w:cs="宋体"/>
          <w:color w:val="auto"/>
          <w:sz w:val="36"/>
          <w:szCs w:val="36"/>
        </w:rPr>
      </w:pPr>
    </w:p>
    <w:p>
      <w:pPr>
        <w:ind w:left="960" w:right="885"/>
        <w:rPr>
          <w:rFonts w:ascii="宋体" w:hAnsi="宋体" w:cs="宋体"/>
          <w:color w:val="auto"/>
          <w:sz w:val="36"/>
          <w:szCs w:val="36"/>
        </w:rPr>
      </w:pPr>
    </w:p>
    <w:p>
      <w:pPr>
        <w:ind w:left="960" w:right="885"/>
        <w:rPr>
          <w:rFonts w:hint="eastAsia" w:ascii="宋体" w:hAnsi="宋体" w:eastAsia="宋体" w:cs="宋体"/>
          <w:color w:val="auto"/>
          <w:sz w:val="32"/>
          <w:szCs w:val="32"/>
        </w:rPr>
      </w:pPr>
    </w:p>
    <w:p>
      <w:pPr>
        <w:ind w:left="960" w:right="885"/>
        <w:rPr>
          <w:rFonts w:hint="eastAsia" w:ascii="宋体" w:hAnsi="宋体" w:eastAsia="宋体" w:cs="宋体"/>
          <w:color w:val="auto"/>
          <w:sz w:val="32"/>
          <w:szCs w:val="32"/>
        </w:rPr>
      </w:pPr>
    </w:p>
    <w:p>
      <w:pPr>
        <w:ind w:left="960" w:right="885"/>
        <w:rPr>
          <w:rFonts w:hint="eastAsia" w:ascii="宋体" w:hAnsi="宋体" w:eastAsia="宋体" w:cs="宋体"/>
          <w:color w:val="auto"/>
          <w:sz w:val="32"/>
          <w:szCs w:val="32"/>
        </w:rPr>
      </w:pPr>
    </w:p>
    <w:p>
      <w:pPr>
        <w:ind w:left="960" w:right="885"/>
        <w:rPr>
          <w:rFonts w:hint="eastAsia" w:ascii="宋体" w:hAnsi="宋体" w:eastAsia="宋体" w:cs="宋体"/>
          <w:color w:val="auto"/>
          <w:sz w:val="32"/>
          <w:szCs w:val="32"/>
        </w:rPr>
      </w:pPr>
    </w:p>
    <w:p>
      <w:pPr>
        <w:ind w:left="960" w:right="885"/>
        <w:rPr>
          <w:rFonts w:hint="eastAsia" w:ascii="宋体" w:hAnsi="宋体" w:eastAsia="宋体" w:cs="宋体"/>
          <w:color w:val="auto"/>
          <w:sz w:val="32"/>
          <w:szCs w:val="32"/>
        </w:rPr>
      </w:pPr>
    </w:p>
    <w:p>
      <w:pPr>
        <w:ind w:right="885"/>
        <w:rPr>
          <w:rFonts w:hint="eastAsia" w:ascii="宋体" w:hAnsi="宋体" w:eastAsia="宋体" w:cs="宋体"/>
          <w:color w:val="auto"/>
          <w:sz w:val="32"/>
          <w:szCs w:val="32"/>
        </w:rPr>
      </w:pPr>
    </w:p>
    <w:p>
      <w:pPr>
        <w:ind w:left="970" w:right="-15" w:hanging="10"/>
        <w:rPr>
          <w:rFonts w:hint="eastAsia" w:ascii="宋体" w:hAnsi="宋体" w:eastAsia="宋体" w:cs="宋体"/>
          <w:color w:val="auto"/>
          <w:sz w:val="32"/>
          <w:szCs w:val="32"/>
        </w:rPr>
      </w:pPr>
    </w:p>
    <w:p>
      <w:pPr>
        <w:pStyle w:val="2"/>
        <w:rPr>
          <w:rFonts w:hint="eastAsia" w:ascii="宋体" w:hAnsi="宋体" w:eastAsia="宋体" w:cs="宋体"/>
          <w:color w:val="auto"/>
          <w:sz w:val="32"/>
          <w:szCs w:val="32"/>
        </w:rPr>
      </w:pPr>
    </w:p>
    <w:p>
      <w:pPr>
        <w:pStyle w:val="2"/>
        <w:rPr>
          <w:rFonts w:hint="eastAsia" w:ascii="宋体" w:hAnsi="宋体" w:eastAsia="宋体" w:cs="宋体"/>
          <w:color w:val="auto"/>
          <w:sz w:val="32"/>
          <w:szCs w:val="32"/>
        </w:rPr>
      </w:pPr>
    </w:p>
    <w:p>
      <w:pPr>
        <w:pStyle w:val="2"/>
        <w:rPr>
          <w:rFonts w:hint="eastAsia" w:ascii="宋体" w:hAnsi="宋体" w:eastAsia="宋体" w:cs="宋体"/>
          <w:color w:val="auto"/>
          <w:sz w:val="32"/>
          <w:szCs w:val="32"/>
        </w:rPr>
      </w:pPr>
    </w:p>
    <w:p>
      <w:pPr>
        <w:pStyle w:val="2"/>
        <w:rPr>
          <w:rFonts w:hint="eastAsia" w:ascii="宋体" w:hAnsi="宋体" w:eastAsia="宋体" w:cs="宋体"/>
          <w:color w:val="auto"/>
          <w:sz w:val="32"/>
          <w:szCs w:val="32"/>
        </w:rPr>
      </w:pPr>
    </w:p>
    <w:p>
      <w:pPr>
        <w:pStyle w:val="2"/>
        <w:rPr>
          <w:rFonts w:hint="eastAsia" w:ascii="宋体" w:hAnsi="宋体" w:eastAsia="宋体" w:cs="宋体"/>
          <w:color w:val="auto"/>
          <w:sz w:val="32"/>
          <w:szCs w:val="32"/>
        </w:rPr>
      </w:pPr>
    </w:p>
    <w:p>
      <w:pPr>
        <w:pStyle w:val="2"/>
        <w:rPr>
          <w:rFonts w:hint="eastAsia" w:ascii="宋体" w:hAnsi="宋体" w:eastAsia="宋体" w:cs="宋体"/>
          <w:color w:val="auto"/>
          <w:sz w:val="32"/>
          <w:szCs w:val="32"/>
        </w:rPr>
      </w:pPr>
    </w:p>
    <w:p>
      <w:pPr>
        <w:ind w:left="970" w:right="-15" w:hanging="10"/>
        <w:rPr>
          <w:rFonts w:hint="eastAsia" w:ascii="宋体" w:hAnsi="宋体" w:eastAsia="宋体" w:cs="宋体"/>
          <w:color w:val="auto"/>
          <w:sz w:val="32"/>
          <w:szCs w:val="32"/>
        </w:rPr>
      </w:pPr>
    </w:p>
    <w:p>
      <w:pPr>
        <w:ind w:right="-15"/>
        <w:jc w:val="center"/>
        <w:rPr>
          <w:rFonts w:hint="eastAsia" w:ascii="宋体" w:hAnsi="宋体" w:eastAsia="宋体" w:cs="宋体"/>
          <w:color w:val="auto"/>
          <w:sz w:val="32"/>
          <w:szCs w:val="32"/>
        </w:rPr>
      </w:pPr>
      <w:r>
        <w:rPr>
          <w:rFonts w:hint="eastAsia" w:ascii="宋体" w:hAnsi="宋体" w:eastAsia="宋体" w:cs="宋体"/>
          <w:color w:val="auto"/>
          <w:sz w:val="32"/>
          <w:szCs w:val="32"/>
        </w:rPr>
        <w:t>2026年</w:t>
      </w: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月</w:t>
      </w:r>
    </w:p>
    <w:p>
      <w:pPr>
        <w:rPr>
          <w:rFonts w:ascii="Arial" w:hAnsi="Arial" w:cs="Times New Roman" w:eastAsiaTheme="minorEastAsia"/>
          <w:sz w:val="24"/>
          <w:szCs w:val="24"/>
          <w:lang w:val="en-US" w:eastAsia="zh-CN" w:bidi="ar-SA"/>
        </w:rPr>
      </w:pPr>
    </w:p>
    <w:p>
      <w:pPr>
        <w:pStyle w:val="3"/>
        <w:ind w:firstLine="482" w:firstLineChars="200"/>
        <w:rPr>
          <w:rFonts w:ascii="黑体" w:hAnsi="黑体" w:eastAsia="黑体"/>
          <w:sz w:val="24"/>
          <w:szCs w:val="24"/>
        </w:rPr>
      </w:pPr>
      <w:r>
        <w:rPr>
          <w:rFonts w:ascii="黑体" w:hAnsi="黑体" w:eastAsia="黑体"/>
          <w:sz w:val="24"/>
          <w:szCs w:val="24"/>
        </w:rPr>
        <w:t>一、基本工况</w:t>
      </w:r>
    </w:p>
    <w:p>
      <w:pPr>
        <w:spacing w:before="80" w:after="80" w:line="360" w:lineRule="auto"/>
        <w:ind w:firstLine="480" w:firstLineChars="200"/>
        <w:jc w:val="left"/>
        <w:rPr>
          <w:rFonts w:ascii="仿宋" w:hAnsi="仿宋" w:eastAsia="仿宋"/>
        </w:rPr>
      </w:pPr>
      <w:r>
        <w:rPr>
          <w:rFonts w:ascii="仿宋" w:hAnsi="仿宋" w:eastAsia="仿宋"/>
        </w:rPr>
        <w:t>1. 镀锌线锌锭月均使用量超2500吨，现有G1、G2两个独立锌锭库房，分别对应G01、G03、G04、G05四条镀锌产线。</w:t>
      </w:r>
    </w:p>
    <w:p>
      <w:pPr>
        <w:spacing w:before="80" w:after="80" w:line="360" w:lineRule="auto"/>
        <w:ind w:firstLine="480" w:firstLineChars="200"/>
        <w:jc w:val="left"/>
        <w:rPr>
          <w:rFonts w:ascii="仿宋" w:hAnsi="仿宋" w:eastAsia="仿宋"/>
        </w:rPr>
      </w:pPr>
      <w:r>
        <w:rPr>
          <w:rFonts w:ascii="仿宋" w:hAnsi="仿宋" w:eastAsia="仿宋"/>
        </w:rPr>
        <w:t>2. 存储物料为锌锭及锌渣，锌锭单块重量约1吨，锌渣需单独库区管理。</w:t>
      </w:r>
    </w:p>
    <w:p>
      <w:pPr>
        <w:spacing w:before="80" w:after="80" w:line="360" w:lineRule="auto"/>
        <w:ind w:firstLine="480" w:firstLineChars="200"/>
        <w:jc w:val="left"/>
        <w:rPr>
          <w:rFonts w:ascii="仿宋" w:hAnsi="仿宋" w:eastAsia="仿宋"/>
        </w:rPr>
      </w:pPr>
      <w:r>
        <w:rPr>
          <w:rFonts w:ascii="仿宋" w:hAnsi="仿宋" w:eastAsia="仿宋"/>
        </w:rPr>
        <w:t>3. 生产模式为四班三运转，每日24小时连续生产，出入库作业需适配倒班节奏</w:t>
      </w:r>
    </w:p>
    <w:p>
      <w:pPr>
        <w:spacing w:before="80" w:after="80" w:line="360" w:lineRule="auto"/>
        <w:ind w:firstLine="480" w:firstLineChars="200"/>
        <w:jc w:val="left"/>
        <w:rPr>
          <w:rFonts w:ascii="仿宋" w:hAnsi="仿宋" w:eastAsia="仿宋"/>
        </w:rPr>
      </w:pPr>
      <w:r>
        <w:rPr>
          <w:rFonts w:ascii="仿宋" w:hAnsi="仿宋" w:eastAsia="仿宋"/>
        </w:rPr>
        <w:t>4. 锌锭供应商多家，不同厂家锌锭规格、铝含量等参数存在差异，需分类管理。</w:t>
      </w:r>
    </w:p>
    <w:p>
      <w:pPr>
        <w:spacing w:before="80" w:after="80" w:line="360" w:lineRule="auto"/>
        <w:ind w:firstLine="480" w:firstLineChars="200"/>
        <w:jc w:val="left"/>
        <w:rPr>
          <w:rFonts w:ascii="仿宋" w:hAnsi="仿宋" w:eastAsia="仿宋"/>
        </w:rPr>
      </w:pPr>
      <w:r>
        <w:rPr>
          <w:rFonts w:ascii="仿宋" w:hAnsi="仿宋" w:eastAsia="仿宋"/>
        </w:rPr>
        <w:t>5. 原有库管系统存在操作繁琐、数据滞后、无法联动生产、异常管控缺失、账实不符等问题。</w:t>
      </w:r>
    </w:p>
    <w:p>
      <w:pPr>
        <w:spacing w:before="80" w:after="80" w:line="360" w:lineRule="auto"/>
        <w:ind w:firstLine="480" w:firstLineChars="200"/>
        <w:jc w:val="left"/>
        <w:rPr>
          <w:rFonts w:ascii="仿宋" w:hAnsi="仿宋" w:eastAsia="仿宋"/>
        </w:rPr>
      </w:pPr>
      <w:r>
        <w:rPr>
          <w:rFonts w:ascii="仿宋" w:hAnsi="仿宋" w:eastAsia="仿宋"/>
        </w:rPr>
        <w:t>6. 每日根据生产计划，产线提出锌锭需求，需实现按需配送与精准消耗统计。</w:t>
      </w:r>
    </w:p>
    <w:p>
      <w:pPr>
        <w:spacing w:before="80" w:after="80" w:line="360" w:lineRule="auto"/>
        <w:ind w:firstLine="480" w:firstLineChars="200"/>
        <w:jc w:val="left"/>
        <w:rPr>
          <w:rFonts w:ascii="仿宋" w:hAnsi="仿宋" w:eastAsia="仿宋"/>
        </w:rPr>
      </w:pPr>
      <w:r>
        <w:rPr>
          <w:rFonts w:ascii="仿宋" w:hAnsi="仿宋" w:eastAsia="仿宋"/>
        </w:rPr>
        <w:t>7. 锌渣产生后需及时回收入库，单独统计出渣率，支撑成本核算。</w:t>
      </w:r>
    </w:p>
    <w:p>
      <w:pPr>
        <w:pStyle w:val="3"/>
        <w:ind w:firstLine="482" w:firstLineChars="200"/>
        <w:rPr>
          <w:rFonts w:ascii="黑体" w:hAnsi="黑体" w:eastAsia="黑体"/>
          <w:sz w:val="24"/>
          <w:szCs w:val="24"/>
        </w:rPr>
      </w:pPr>
      <w:r>
        <w:rPr>
          <w:rFonts w:ascii="黑体" w:hAnsi="黑体" w:eastAsia="黑体"/>
          <w:sz w:val="24"/>
          <w:szCs w:val="24"/>
        </w:rPr>
        <w:t>二、系统</w:t>
      </w:r>
      <w:r>
        <w:rPr>
          <w:rFonts w:hint="eastAsia" w:ascii="黑体" w:hAnsi="黑体" w:eastAsia="黑体"/>
          <w:sz w:val="24"/>
          <w:szCs w:val="24"/>
          <w:lang w:val="en-US" w:eastAsia="zh-CN"/>
        </w:rPr>
        <w:t>功能</w:t>
      </w:r>
      <w:r>
        <w:rPr>
          <w:rFonts w:ascii="黑体" w:hAnsi="黑体" w:eastAsia="黑体"/>
          <w:sz w:val="24"/>
          <w:szCs w:val="24"/>
        </w:rPr>
        <w:t>要求</w:t>
      </w:r>
    </w:p>
    <w:p>
      <w:pPr>
        <w:spacing w:before="80" w:after="80" w:line="360" w:lineRule="auto"/>
        <w:ind w:firstLine="480" w:firstLineChars="200"/>
        <w:jc w:val="left"/>
        <w:rPr>
          <w:rFonts w:ascii="仿宋" w:hAnsi="仿宋" w:eastAsia="仿宋"/>
        </w:rPr>
      </w:pPr>
      <w:r>
        <w:rPr>
          <w:rFonts w:ascii="仿宋" w:hAnsi="仿宋" w:eastAsia="仿宋"/>
        </w:rPr>
        <w:t>建立以条码扫码体系、PDA移动终端、工业</w:t>
      </w:r>
      <w:r>
        <w:rPr>
          <w:rFonts w:hint="eastAsia" w:ascii="仿宋" w:hAnsi="仿宋" w:eastAsia="仿宋"/>
        </w:rPr>
        <w:t>互联</w:t>
      </w:r>
      <w:r>
        <w:rPr>
          <w:rFonts w:ascii="仿宋" w:hAnsi="仿宋" w:eastAsia="仿宋"/>
        </w:rPr>
        <w:t>网为支撑的一体化智能锌锭库管平台。通过平台实现锌锭从入库到消耗的全生命周期跟踪，实现G1、G2两个库房独立管控、数据隔离与整体统筹。各作业环节引入手持PDA实现出入库、库存查询、盘点等业务的在线操作与实时管控；业务过程数据留痕，方便历史追溯，自动化台账、报表及分析研判；</w:t>
      </w:r>
      <w:r>
        <w:rPr>
          <w:rFonts w:hint="eastAsia" w:ascii="仿宋" w:hAnsi="仿宋" w:eastAsia="仿宋"/>
        </w:rPr>
        <w:t>建设</w:t>
      </w:r>
      <w:r>
        <w:rPr>
          <w:rFonts w:ascii="仿宋" w:hAnsi="仿宋" w:eastAsia="仿宋"/>
        </w:rPr>
        <w:t>标准化接口，实现与生产大数据平台无缝对接。通过上线智能化库管系统，实现仓储信息化管理，提升出入库作业效率，降低人工操作失误率，实现库存数据实时动态更新与账实相符。</w:t>
      </w:r>
    </w:p>
    <w:p>
      <w:pPr>
        <w:pStyle w:val="19"/>
        <w:numPr>
          <w:ilvl w:val="0"/>
          <w:numId w:val="1"/>
        </w:numPr>
        <w:spacing w:before="40" w:after="40" w:line="360" w:lineRule="auto"/>
        <w:ind w:left="0" w:firstLine="480" w:firstLineChars="200"/>
        <w:rPr>
          <w:rFonts w:ascii="仿宋" w:hAnsi="仿宋" w:eastAsia="仿宋"/>
        </w:rPr>
      </w:pPr>
      <w:r>
        <w:rPr>
          <w:rFonts w:hint="eastAsia" w:ascii="仿宋" w:hAnsi="仿宋" w:eastAsia="仿宋"/>
          <w:lang w:val="en-US" w:eastAsia="zh-CN"/>
        </w:rPr>
        <w:t>冷轧涂镀</w:t>
      </w:r>
      <w:r>
        <w:rPr>
          <w:rFonts w:ascii="仿宋" w:hAnsi="仿宋" w:eastAsia="仿宋"/>
        </w:rPr>
        <w:t>厂G1/G2锌锭库管系统平台搭建；</w:t>
      </w:r>
    </w:p>
    <w:p>
      <w:pPr>
        <w:pStyle w:val="19"/>
        <w:numPr>
          <w:ilvl w:val="0"/>
          <w:numId w:val="1"/>
        </w:numPr>
        <w:spacing w:before="40" w:after="40" w:line="360" w:lineRule="auto"/>
        <w:ind w:left="0" w:firstLine="480" w:firstLineChars="200"/>
        <w:rPr>
          <w:rFonts w:ascii="仿宋" w:hAnsi="仿宋" w:eastAsia="仿宋"/>
        </w:rPr>
      </w:pPr>
      <w:r>
        <w:rPr>
          <w:rFonts w:ascii="仿宋" w:hAnsi="仿宋" w:eastAsia="仿宋"/>
        </w:rPr>
        <w:t>锌锭条码编码体系建立，实现一锭一码，全生命周期跟踪；</w:t>
      </w:r>
    </w:p>
    <w:p>
      <w:pPr>
        <w:pStyle w:val="19"/>
        <w:numPr>
          <w:ilvl w:val="0"/>
          <w:numId w:val="1"/>
        </w:numPr>
        <w:spacing w:before="40" w:after="40" w:line="360" w:lineRule="auto"/>
        <w:ind w:left="0" w:firstLine="480" w:firstLineChars="200"/>
        <w:rPr>
          <w:rFonts w:ascii="仿宋" w:hAnsi="仿宋" w:eastAsia="仿宋"/>
        </w:rPr>
      </w:pPr>
      <w:r>
        <w:rPr>
          <w:rFonts w:ascii="仿宋" w:hAnsi="仿宋" w:eastAsia="仿宋"/>
        </w:rPr>
        <w:t>G1、G2库房分库独立管控，数据物理隔离，操作</w:t>
      </w:r>
      <w:r>
        <w:rPr>
          <w:rFonts w:hint="eastAsia" w:ascii="仿宋" w:hAnsi="仿宋" w:eastAsia="仿宋"/>
        </w:rPr>
        <w:t>、管理</w:t>
      </w:r>
      <w:r>
        <w:rPr>
          <w:rFonts w:ascii="仿宋" w:hAnsi="仿宋" w:eastAsia="仿宋"/>
        </w:rPr>
        <w:t>权限分离；</w:t>
      </w:r>
    </w:p>
    <w:p>
      <w:pPr>
        <w:pStyle w:val="19"/>
        <w:numPr>
          <w:ilvl w:val="0"/>
          <w:numId w:val="1"/>
        </w:numPr>
        <w:spacing w:before="40" w:after="40" w:line="360" w:lineRule="auto"/>
        <w:ind w:left="0" w:firstLine="480" w:firstLineChars="200"/>
        <w:rPr>
          <w:rFonts w:ascii="仿宋" w:hAnsi="仿宋" w:eastAsia="仿宋"/>
        </w:rPr>
      </w:pPr>
      <w:r>
        <w:rPr>
          <w:rFonts w:ascii="仿宋" w:hAnsi="仿宋" w:eastAsia="仿宋"/>
        </w:rPr>
        <w:t>实现PDA扫码出入库、库存查询、盘点等移动作业；</w:t>
      </w:r>
    </w:p>
    <w:p>
      <w:pPr>
        <w:pStyle w:val="19"/>
        <w:numPr>
          <w:ilvl w:val="0"/>
          <w:numId w:val="1"/>
        </w:numPr>
        <w:spacing w:before="80" w:after="80" w:line="360" w:lineRule="auto"/>
        <w:ind w:left="0" w:firstLine="480" w:firstLineChars="200"/>
        <w:rPr>
          <w:rFonts w:ascii="仿宋" w:hAnsi="仿宋" w:eastAsia="仿宋"/>
        </w:rPr>
      </w:pPr>
      <w:r>
        <w:rPr>
          <w:rFonts w:ascii="仿宋" w:hAnsi="仿宋" w:eastAsia="仿宋"/>
        </w:rPr>
        <w:t>实现与生产大数据平台的数据对接；</w:t>
      </w:r>
    </w:p>
    <w:p>
      <w:pPr>
        <w:pStyle w:val="19"/>
        <w:numPr>
          <w:ilvl w:val="0"/>
          <w:numId w:val="1"/>
        </w:numPr>
        <w:spacing w:before="40" w:after="40" w:line="360" w:lineRule="auto"/>
        <w:ind w:left="0" w:firstLine="480" w:firstLineChars="200"/>
        <w:rPr>
          <w:rFonts w:ascii="仿宋" w:hAnsi="仿宋" w:eastAsia="仿宋"/>
        </w:rPr>
      </w:pPr>
      <w:r>
        <w:rPr>
          <w:rFonts w:ascii="仿宋" w:hAnsi="仿宋" w:eastAsia="仿宋"/>
        </w:rPr>
        <w:t>支持锌锭及锌渣的入库、出库、库存、盘点全流程管理；</w:t>
      </w:r>
    </w:p>
    <w:p>
      <w:pPr>
        <w:pStyle w:val="19"/>
        <w:numPr>
          <w:ilvl w:val="0"/>
          <w:numId w:val="1"/>
        </w:numPr>
        <w:spacing w:before="40" w:after="40" w:line="360" w:lineRule="auto"/>
        <w:ind w:left="0" w:firstLine="480" w:firstLineChars="200"/>
        <w:rPr>
          <w:rFonts w:ascii="仿宋" w:hAnsi="仿宋" w:eastAsia="仿宋"/>
        </w:rPr>
      </w:pPr>
      <w:r>
        <w:rPr>
          <w:rFonts w:ascii="仿宋" w:hAnsi="仿宋" w:eastAsia="仿宋"/>
        </w:rPr>
        <w:t>建立锌锭条码编码体系，实现一锭一码唯一性标识；</w:t>
      </w:r>
    </w:p>
    <w:p>
      <w:pPr>
        <w:pStyle w:val="19"/>
        <w:numPr>
          <w:ilvl w:val="0"/>
          <w:numId w:val="1"/>
        </w:numPr>
        <w:spacing w:before="40" w:after="40" w:line="360" w:lineRule="auto"/>
        <w:ind w:left="0" w:firstLine="480" w:firstLineChars="200"/>
        <w:rPr>
          <w:rFonts w:ascii="仿宋" w:hAnsi="仿宋" w:eastAsia="仿宋"/>
        </w:rPr>
      </w:pPr>
      <w:r>
        <w:rPr>
          <w:rFonts w:ascii="仿宋" w:hAnsi="仿宋" w:eastAsia="仿宋"/>
        </w:rPr>
        <w:t>建立与PDA、标签打印机、网络设备等系统集成；</w:t>
      </w:r>
    </w:p>
    <w:p>
      <w:pPr>
        <w:pStyle w:val="19"/>
        <w:numPr>
          <w:ilvl w:val="0"/>
          <w:numId w:val="1"/>
        </w:numPr>
        <w:spacing w:before="40" w:after="40" w:line="360" w:lineRule="auto"/>
        <w:ind w:left="0" w:firstLine="480" w:firstLineChars="200"/>
        <w:rPr>
          <w:rFonts w:ascii="仿宋" w:hAnsi="仿宋" w:eastAsia="仿宋"/>
        </w:rPr>
      </w:pPr>
      <w:r>
        <w:rPr>
          <w:rFonts w:ascii="仿宋" w:hAnsi="仿宋" w:eastAsia="仿宋"/>
        </w:rPr>
        <w:t>实现产线要料需求管理与出库任务自动匹配；</w:t>
      </w:r>
    </w:p>
    <w:p>
      <w:pPr>
        <w:pStyle w:val="19"/>
        <w:numPr>
          <w:ilvl w:val="0"/>
          <w:numId w:val="1"/>
        </w:numPr>
        <w:spacing w:before="40" w:after="40" w:line="360" w:lineRule="auto"/>
        <w:ind w:left="0" w:firstLine="480" w:firstLineChars="200"/>
        <w:rPr>
          <w:rFonts w:ascii="仿宋" w:hAnsi="仿宋" w:eastAsia="仿宋"/>
        </w:rPr>
      </w:pPr>
      <w:r>
        <w:rPr>
          <w:rFonts w:ascii="仿宋" w:hAnsi="仿宋" w:eastAsia="仿宋"/>
        </w:rPr>
        <w:t>实现多维度统计报表自动生成，替代人工核算；</w:t>
      </w:r>
    </w:p>
    <w:p>
      <w:pPr>
        <w:pStyle w:val="19"/>
        <w:numPr>
          <w:ilvl w:val="0"/>
          <w:numId w:val="1"/>
        </w:numPr>
        <w:spacing w:before="40" w:after="40" w:line="360" w:lineRule="auto"/>
        <w:ind w:left="0" w:firstLine="480" w:firstLineChars="200"/>
        <w:rPr>
          <w:rFonts w:ascii="仿宋" w:hAnsi="仿宋" w:eastAsia="仿宋"/>
        </w:rPr>
      </w:pPr>
      <w:r>
        <w:rPr>
          <w:rFonts w:ascii="仿宋" w:hAnsi="仿宋" w:eastAsia="仿宋"/>
        </w:rPr>
        <w:t>实现库存预警、异常操作预警等智能管控；</w:t>
      </w:r>
    </w:p>
    <w:p>
      <w:pPr>
        <w:pStyle w:val="3"/>
        <w:ind w:firstLine="482" w:firstLineChars="200"/>
        <w:rPr>
          <w:rFonts w:ascii="黑体" w:hAnsi="黑体" w:eastAsia="黑体"/>
          <w:sz w:val="24"/>
          <w:szCs w:val="24"/>
        </w:rPr>
      </w:pPr>
      <w:r>
        <w:rPr>
          <w:rFonts w:hint="eastAsia" w:ascii="黑体" w:hAnsi="黑体" w:eastAsia="黑体"/>
          <w:sz w:val="24"/>
          <w:szCs w:val="24"/>
          <w:lang w:val="en-US" w:eastAsia="zh-CN"/>
        </w:rPr>
        <w:t>三</w:t>
      </w:r>
      <w:r>
        <w:rPr>
          <w:rFonts w:ascii="黑体" w:hAnsi="黑体" w:eastAsia="黑体"/>
          <w:sz w:val="24"/>
          <w:szCs w:val="24"/>
        </w:rPr>
        <w:t>、</w:t>
      </w:r>
      <w:r>
        <w:rPr>
          <w:rFonts w:hint="eastAsia" w:ascii="黑体" w:hAnsi="黑体" w:eastAsia="黑体"/>
          <w:sz w:val="24"/>
          <w:szCs w:val="24"/>
          <w:lang w:val="en-US" w:eastAsia="zh-CN"/>
        </w:rPr>
        <w:t>设备配置</w:t>
      </w:r>
      <w:r>
        <w:rPr>
          <w:rFonts w:ascii="黑体" w:hAnsi="黑体" w:eastAsia="黑体"/>
          <w:sz w:val="24"/>
          <w:szCs w:val="24"/>
        </w:rPr>
        <w:t>要求</w:t>
      </w:r>
    </w:p>
    <w:p>
      <w:pPr>
        <w:spacing w:before="80" w:after="80" w:line="360" w:lineRule="auto"/>
        <w:ind w:firstLine="480" w:firstLineChars="200"/>
        <w:jc w:val="left"/>
        <w:rPr>
          <w:rFonts w:ascii="仿宋" w:hAnsi="仿宋" w:eastAsia="仿宋"/>
        </w:rPr>
      </w:pPr>
      <w:r>
        <w:rPr>
          <w:rFonts w:ascii="仿宋" w:hAnsi="仿宋" w:eastAsia="仿宋"/>
        </w:rPr>
        <w:t>根据</w:t>
      </w:r>
      <w:r>
        <w:rPr>
          <w:rFonts w:hint="eastAsia" w:ascii="仿宋" w:hAnsi="仿宋" w:eastAsia="仿宋"/>
          <w:lang w:val="en-US" w:eastAsia="zh-CN"/>
        </w:rPr>
        <w:t>冷轧</w:t>
      </w:r>
      <w:r>
        <w:rPr>
          <w:rFonts w:ascii="仿宋" w:hAnsi="仿宋" w:eastAsia="仿宋"/>
        </w:rPr>
        <w:t>涂镀厂G1/G2锌锭库管系统实际需求，硬件系统成套提出要求如下：</w:t>
      </w:r>
    </w:p>
    <w:p>
      <w:pPr>
        <w:spacing w:before="80" w:after="80" w:line="360" w:lineRule="auto"/>
        <w:ind w:firstLine="480" w:firstLineChars="200"/>
        <w:jc w:val="left"/>
        <w:rPr>
          <w:rFonts w:ascii="仿宋" w:hAnsi="仿宋" w:eastAsia="仿宋"/>
        </w:rPr>
      </w:pPr>
      <w:r>
        <w:rPr>
          <w:rFonts w:ascii="仿宋" w:hAnsi="仿宋" w:eastAsia="仿宋"/>
        </w:rPr>
        <w:t>（1）产品规格：</w:t>
      </w:r>
    </w:p>
    <w:p>
      <w:pPr>
        <w:pStyle w:val="19"/>
        <w:numPr>
          <w:ilvl w:val="0"/>
          <w:numId w:val="1"/>
        </w:numPr>
        <w:spacing w:before="40" w:after="40"/>
        <w:ind w:firstLine="480" w:firstLineChars="200"/>
        <w:rPr>
          <w:rFonts w:ascii="仿宋" w:hAnsi="仿宋" w:eastAsia="仿宋"/>
        </w:rPr>
      </w:pPr>
      <w:r>
        <w:rPr>
          <w:rFonts w:ascii="仿宋" w:hAnsi="仿宋" w:eastAsia="仿宋"/>
        </w:rPr>
        <w:t>物料：锌锭及锌渣；</w:t>
      </w:r>
    </w:p>
    <w:p>
      <w:pPr>
        <w:pStyle w:val="19"/>
        <w:numPr>
          <w:ilvl w:val="0"/>
          <w:numId w:val="1"/>
        </w:numPr>
        <w:spacing w:before="40" w:after="40"/>
        <w:ind w:firstLine="480" w:firstLineChars="200"/>
        <w:rPr>
          <w:rFonts w:ascii="仿宋" w:hAnsi="仿宋" w:eastAsia="仿宋"/>
        </w:rPr>
      </w:pPr>
      <w:r>
        <w:rPr>
          <w:rFonts w:ascii="仿宋" w:hAnsi="仿宋" w:eastAsia="仿宋"/>
        </w:rPr>
        <w:t>锌锭单块重量约1吨；</w:t>
      </w:r>
    </w:p>
    <w:p>
      <w:pPr>
        <w:spacing w:before="80" w:after="80" w:line="360" w:lineRule="auto"/>
        <w:ind w:firstLine="480" w:firstLineChars="200"/>
        <w:jc w:val="left"/>
        <w:rPr>
          <w:rFonts w:ascii="仿宋" w:hAnsi="仿宋" w:eastAsia="仿宋"/>
        </w:rPr>
      </w:pPr>
      <w:r>
        <w:rPr>
          <w:rFonts w:ascii="仿宋" w:hAnsi="仿宋" w:eastAsia="仿宋"/>
        </w:rPr>
        <w:t>（2）电气设备安装使用条件：</w:t>
      </w:r>
    </w:p>
    <w:p>
      <w:pPr>
        <w:pStyle w:val="19"/>
        <w:numPr>
          <w:ilvl w:val="0"/>
          <w:numId w:val="1"/>
        </w:numPr>
        <w:spacing w:before="40" w:after="40"/>
        <w:ind w:firstLine="480" w:firstLineChars="200"/>
        <w:rPr>
          <w:rFonts w:ascii="仿宋" w:hAnsi="仿宋" w:eastAsia="仿宋"/>
        </w:rPr>
      </w:pPr>
      <w:r>
        <w:rPr>
          <w:rFonts w:ascii="仿宋" w:hAnsi="仿宋" w:eastAsia="仿宋"/>
        </w:rPr>
        <w:t>环境温度：电气室5～35°C，操作室18～28°C；</w:t>
      </w:r>
    </w:p>
    <w:p>
      <w:pPr>
        <w:pStyle w:val="19"/>
        <w:numPr>
          <w:ilvl w:val="0"/>
          <w:numId w:val="1"/>
        </w:numPr>
        <w:spacing w:before="40" w:after="40"/>
        <w:ind w:firstLine="480" w:firstLineChars="200"/>
        <w:rPr>
          <w:rFonts w:ascii="仿宋" w:hAnsi="仿宋" w:eastAsia="仿宋"/>
        </w:rPr>
      </w:pPr>
      <w:r>
        <w:rPr>
          <w:rFonts w:ascii="仿宋" w:hAnsi="仿宋" w:eastAsia="仿宋"/>
        </w:rPr>
        <w:t>相对湿度：30%～80%，无凝露；</w:t>
      </w:r>
    </w:p>
    <w:p>
      <w:pPr>
        <w:spacing w:before="80" w:after="80" w:line="360" w:lineRule="auto"/>
        <w:ind w:firstLine="480" w:firstLineChars="200"/>
        <w:jc w:val="left"/>
        <w:rPr>
          <w:rFonts w:ascii="仿宋" w:hAnsi="仿宋" w:eastAsia="仿宋"/>
        </w:rPr>
      </w:pPr>
      <w:r>
        <w:rPr>
          <w:rFonts w:ascii="仿宋" w:hAnsi="仿宋" w:eastAsia="仿宋"/>
        </w:rPr>
        <w:t>（3）供电电源条件：</w:t>
      </w:r>
    </w:p>
    <w:p>
      <w:pPr>
        <w:pStyle w:val="19"/>
        <w:numPr>
          <w:ilvl w:val="0"/>
          <w:numId w:val="1"/>
        </w:numPr>
        <w:spacing w:before="40" w:after="40" w:line="360" w:lineRule="auto"/>
        <w:ind w:firstLine="480" w:firstLineChars="200"/>
        <w:rPr>
          <w:rFonts w:ascii="仿宋" w:hAnsi="仿宋" w:eastAsia="仿宋"/>
        </w:rPr>
      </w:pPr>
      <w:r>
        <w:rPr>
          <w:rFonts w:ascii="仿宋" w:hAnsi="仿宋" w:eastAsia="仿宋"/>
        </w:rPr>
        <w:t>服务器供电电源：单相AC220V；</w:t>
      </w:r>
    </w:p>
    <w:p>
      <w:pPr>
        <w:pStyle w:val="19"/>
        <w:numPr>
          <w:ilvl w:val="0"/>
          <w:numId w:val="1"/>
        </w:numPr>
        <w:spacing w:before="40" w:after="40" w:line="360" w:lineRule="auto"/>
        <w:ind w:firstLine="480" w:firstLineChars="200"/>
        <w:rPr>
          <w:rFonts w:ascii="仿宋" w:hAnsi="仿宋" w:eastAsia="仿宋"/>
        </w:rPr>
      </w:pPr>
      <w:r>
        <w:rPr>
          <w:rFonts w:ascii="仿宋" w:hAnsi="仿宋" w:eastAsia="仿宋"/>
        </w:rPr>
        <w:t>设备电源：单相AC220V；</w:t>
      </w:r>
    </w:p>
    <w:p>
      <w:pPr>
        <w:pStyle w:val="19"/>
        <w:numPr>
          <w:ilvl w:val="0"/>
          <w:numId w:val="1"/>
        </w:numPr>
        <w:spacing w:before="80" w:after="80" w:line="360" w:lineRule="auto"/>
        <w:ind w:firstLine="480" w:firstLineChars="200"/>
        <w:rPr>
          <w:rFonts w:ascii="仿宋" w:hAnsi="仿宋" w:eastAsia="仿宋"/>
        </w:rPr>
      </w:pPr>
      <w:r>
        <w:rPr>
          <w:rFonts w:ascii="仿宋" w:hAnsi="仿宋" w:eastAsia="仿宋"/>
        </w:rPr>
        <w:t>AP供电：POE；</w:t>
      </w:r>
    </w:p>
    <w:p>
      <w:pPr>
        <w:pStyle w:val="19"/>
        <w:numPr>
          <w:ilvl w:val="0"/>
          <w:numId w:val="1"/>
        </w:numPr>
        <w:spacing w:before="40" w:after="40" w:line="360" w:lineRule="auto"/>
        <w:ind w:firstLine="480" w:firstLineChars="200"/>
        <w:rPr>
          <w:rFonts w:ascii="仿宋" w:hAnsi="仿宋" w:eastAsia="仿宋"/>
        </w:rPr>
      </w:pPr>
      <w:r>
        <w:rPr>
          <w:rFonts w:ascii="仿宋" w:hAnsi="仿宋" w:eastAsia="仿宋"/>
        </w:rPr>
        <w:t>对PDA工作区域进行WIFI全覆盖，无线信号强度不低于-65dBm，保障扫码操作实时响应；</w:t>
      </w:r>
    </w:p>
    <w:p>
      <w:pPr>
        <w:pStyle w:val="19"/>
        <w:numPr>
          <w:ilvl w:val="0"/>
          <w:numId w:val="1"/>
        </w:numPr>
        <w:spacing w:before="40" w:after="40" w:line="360" w:lineRule="auto"/>
        <w:ind w:firstLine="480" w:firstLineChars="200"/>
        <w:rPr>
          <w:rFonts w:ascii="仿宋" w:hAnsi="仿宋" w:eastAsia="仿宋"/>
        </w:rPr>
      </w:pPr>
      <w:r>
        <w:rPr>
          <w:rFonts w:ascii="仿宋" w:hAnsi="仿宋" w:eastAsia="仿宋"/>
        </w:rPr>
        <w:t>网络架构采用工业以太网+无线局域网混合架构，保障车间复杂环境下网络稳定性；</w:t>
      </w:r>
    </w:p>
    <w:p>
      <w:pPr>
        <w:pStyle w:val="19"/>
        <w:numPr>
          <w:ilvl w:val="0"/>
          <w:numId w:val="1"/>
        </w:numPr>
        <w:spacing w:before="40" w:after="40" w:line="360" w:lineRule="auto"/>
        <w:ind w:firstLine="480" w:firstLineChars="200"/>
        <w:rPr>
          <w:rFonts w:ascii="仿宋" w:hAnsi="仿宋" w:eastAsia="仿宋"/>
        </w:rPr>
      </w:pPr>
      <w:r>
        <w:rPr>
          <w:rFonts w:ascii="仿宋" w:hAnsi="仿宋" w:eastAsia="仿宋"/>
        </w:rPr>
        <w:t>所有终端设备绑定MAC地址，禁止未授权设备接入；</w:t>
      </w:r>
    </w:p>
    <w:p>
      <w:pPr>
        <w:pStyle w:val="19"/>
        <w:numPr>
          <w:ilvl w:val="0"/>
          <w:numId w:val="1"/>
        </w:numPr>
        <w:spacing w:before="40" w:after="40" w:line="360" w:lineRule="auto"/>
        <w:ind w:firstLine="480" w:firstLineChars="200"/>
        <w:rPr>
          <w:rFonts w:ascii="仿宋" w:hAnsi="仿宋" w:eastAsia="仿宋"/>
        </w:rPr>
      </w:pPr>
      <w:r>
        <w:rPr>
          <w:rFonts w:ascii="仿宋" w:hAnsi="仿宋" w:eastAsia="仿宋"/>
        </w:rPr>
        <w:t>生产数据存入数据库，以便日后查询与数据跟踪记录；</w:t>
      </w:r>
    </w:p>
    <w:p>
      <w:pPr>
        <w:pStyle w:val="19"/>
        <w:numPr>
          <w:ilvl w:val="0"/>
          <w:numId w:val="1"/>
        </w:numPr>
        <w:spacing w:before="40" w:after="40" w:line="360" w:lineRule="auto"/>
        <w:ind w:firstLine="480" w:firstLineChars="200"/>
        <w:rPr>
          <w:rFonts w:ascii="仿宋" w:hAnsi="仿宋" w:eastAsia="仿宋"/>
        </w:rPr>
      </w:pPr>
      <w:r>
        <w:rPr>
          <w:rFonts w:ascii="仿宋" w:hAnsi="仿宋" w:eastAsia="仿宋"/>
        </w:rPr>
        <w:t>设备使用220V/50Hz电源接入；</w:t>
      </w:r>
    </w:p>
    <w:p>
      <w:pPr>
        <w:pStyle w:val="19"/>
        <w:numPr>
          <w:ilvl w:val="0"/>
          <w:numId w:val="1"/>
        </w:numPr>
        <w:spacing w:before="40" w:after="40" w:line="360" w:lineRule="auto"/>
        <w:ind w:firstLine="480" w:firstLineChars="200"/>
        <w:rPr>
          <w:rFonts w:ascii="仿宋" w:hAnsi="仿宋" w:eastAsia="仿宋"/>
        </w:rPr>
      </w:pPr>
      <w:r>
        <w:rPr>
          <w:rFonts w:ascii="仿宋" w:hAnsi="仿宋" w:eastAsia="仿宋"/>
        </w:rPr>
        <w:t>无线AP安装在库房，避开金属遮挡物，高度3-4米，采用壁挂式安装，便于维护。</w:t>
      </w:r>
    </w:p>
    <w:p>
      <w:pPr>
        <w:bidi w:val="0"/>
        <w:rPr>
          <w:b/>
          <w:bCs/>
        </w:rPr>
      </w:pPr>
      <w:r>
        <w:rPr>
          <w:b/>
          <w:bCs/>
        </w:rPr>
        <w:t>供货范围</w:t>
      </w:r>
    </w:p>
    <w:p>
      <w:pPr>
        <w:spacing w:before="80" w:after="80" w:line="360" w:lineRule="auto"/>
        <w:ind w:firstLine="480" w:firstLineChars="200"/>
        <w:jc w:val="left"/>
        <w:rPr>
          <w:rFonts w:ascii="仿宋" w:hAnsi="仿宋" w:eastAsia="仿宋"/>
        </w:rPr>
      </w:pPr>
      <w:r>
        <w:rPr>
          <w:rFonts w:ascii="仿宋" w:hAnsi="仿宋" w:eastAsia="仿宋"/>
        </w:rPr>
        <w:t>按硬件系统技术要求配套相关成套硬件，参考清单如下表：</w:t>
      </w:r>
    </w:p>
    <w:tbl>
      <w:tblPr>
        <w:tblStyle w:val="12"/>
        <w:tblW w:w="9021" w:type="dxa"/>
        <w:tblInd w:w="0" w:type="dxa"/>
        <w:tblLayout w:type="fixed"/>
        <w:tblCellMar>
          <w:top w:w="0" w:type="dxa"/>
          <w:left w:w="108" w:type="dxa"/>
          <w:bottom w:w="0" w:type="dxa"/>
          <w:right w:w="108" w:type="dxa"/>
        </w:tblCellMar>
      </w:tblPr>
      <w:tblGrid>
        <w:gridCol w:w="661"/>
        <w:gridCol w:w="1124"/>
        <w:gridCol w:w="1374"/>
        <w:gridCol w:w="3499"/>
        <w:gridCol w:w="708"/>
        <w:gridCol w:w="709"/>
        <w:gridCol w:w="946"/>
      </w:tblGrid>
      <w:tr>
        <w:tblPrEx>
          <w:tblCellMar>
            <w:top w:w="0" w:type="dxa"/>
            <w:left w:w="108" w:type="dxa"/>
            <w:bottom w:w="0" w:type="dxa"/>
            <w:right w:w="108" w:type="dxa"/>
          </w:tblCellMar>
        </w:tblPrEx>
        <w:trPr>
          <w:trHeight w:val="846" w:hRule="atLeast"/>
        </w:trPr>
        <w:tc>
          <w:tcPr>
            <w:tcW w:w="661" w:type="dxa"/>
            <w:tcBorders>
              <w:top w:val="single" w:color="auto" w:sz="4" w:space="0"/>
              <w:left w:val="single" w:color="auto" w:sz="4" w:space="0"/>
              <w:bottom w:val="single" w:color="auto" w:sz="4" w:space="0"/>
              <w:right w:val="single" w:color="auto" w:sz="4" w:space="0"/>
            </w:tcBorders>
            <w:shd w:val="clear" w:color="000000" w:fill="C0C0C0"/>
            <w:noWrap/>
            <w:vAlign w:val="center"/>
          </w:tcPr>
          <w:p>
            <w:pPr>
              <w:widowControl/>
              <w:jc w:val="center"/>
              <w:rPr>
                <w:rFonts w:ascii="微软雅黑" w:hAnsi="微软雅黑" w:eastAsia="微软雅黑" w:cs="宋体"/>
                <w:b/>
                <w:bCs/>
                <w:sz w:val="22"/>
                <w:szCs w:val="22"/>
              </w:rPr>
            </w:pPr>
            <w:r>
              <w:rPr>
                <w:rFonts w:hint="eastAsia" w:ascii="微软雅黑" w:hAnsi="微软雅黑" w:eastAsia="微软雅黑" w:cs="宋体"/>
                <w:b/>
                <w:bCs/>
                <w:sz w:val="22"/>
                <w:szCs w:val="22"/>
              </w:rPr>
              <w:t>序号</w:t>
            </w:r>
          </w:p>
        </w:tc>
        <w:tc>
          <w:tcPr>
            <w:tcW w:w="1124" w:type="dxa"/>
            <w:tcBorders>
              <w:top w:val="single" w:color="auto" w:sz="4" w:space="0"/>
              <w:left w:val="nil"/>
              <w:bottom w:val="single" w:color="auto" w:sz="4" w:space="0"/>
              <w:right w:val="single" w:color="auto" w:sz="4" w:space="0"/>
            </w:tcBorders>
            <w:shd w:val="clear" w:color="000000" w:fill="C0C0C0"/>
            <w:noWrap/>
            <w:vAlign w:val="center"/>
          </w:tcPr>
          <w:p>
            <w:pPr>
              <w:widowControl/>
              <w:jc w:val="center"/>
              <w:rPr>
                <w:rFonts w:ascii="微软雅黑" w:hAnsi="微软雅黑" w:eastAsia="微软雅黑" w:cs="宋体"/>
                <w:b/>
                <w:bCs/>
                <w:sz w:val="22"/>
                <w:szCs w:val="22"/>
              </w:rPr>
            </w:pPr>
            <w:r>
              <w:rPr>
                <w:rFonts w:hint="eastAsia" w:ascii="微软雅黑" w:hAnsi="微软雅黑" w:eastAsia="微软雅黑" w:cs="宋体"/>
                <w:b/>
                <w:bCs/>
                <w:sz w:val="22"/>
                <w:szCs w:val="22"/>
              </w:rPr>
              <w:t>设备名称</w:t>
            </w:r>
          </w:p>
        </w:tc>
        <w:tc>
          <w:tcPr>
            <w:tcW w:w="1374" w:type="dxa"/>
            <w:tcBorders>
              <w:top w:val="single" w:color="auto" w:sz="4" w:space="0"/>
              <w:left w:val="nil"/>
              <w:bottom w:val="single" w:color="auto" w:sz="4" w:space="0"/>
              <w:right w:val="single" w:color="auto" w:sz="4" w:space="0"/>
            </w:tcBorders>
            <w:shd w:val="clear" w:color="000000" w:fill="C0C0C0"/>
            <w:noWrap/>
            <w:vAlign w:val="center"/>
          </w:tcPr>
          <w:p>
            <w:pPr>
              <w:widowControl/>
              <w:jc w:val="center"/>
              <w:rPr>
                <w:rFonts w:ascii="微软雅黑" w:hAnsi="微软雅黑" w:eastAsia="微软雅黑" w:cs="宋体"/>
                <w:b/>
                <w:bCs/>
                <w:sz w:val="22"/>
                <w:szCs w:val="22"/>
              </w:rPr>
            </w:pPr>
            <w:r>
              <w:rPr>
                <w:rFonts w:hint="eastAsia" w:ascii="微软雅黑" w:hAnsi="微软雅黑" w:eastAsia="微软雅黑" w:cs="宋体"/>
                <w:b/>
                <w:bCs/>
                <w:sz w:val="22"/>
                <w:szCs w:val="22"/>
              </w:rPr>
              <w:t>产品型号</w:t>
            </w:r>
          </w:p>
        </w:tc>
        <w:tc>
          <w:tcPr>
            <w:tcW w:w="3499" w:type="dxa"/>
            <w:tcBorders>
              <w:top w:val="single" w:color="auto" w:sz="4" w:space="0"/>
              <w:left w:val="nil"/>
              <w:bottom w:val="single" w:color="auto" w:sz="4" w:space="0"/>
              <w:right w:val="nil"/>
            </w:tcBorders>
            <w:shd w:val="clear" w:color="000000" w:fill="C0C0C0"/>
            <w:noWrap/>
            <w:vAlign w:val="center"/>
          </w:tcPr>
          <w:p>
            <w:pPr>
              <w:widowControl/>
              <w:jc w:val="center"/>
              <w:rPr>
                <w:rFonts w:ascii="微软雅黑" w:hAnsi="微软雅黑" w:eastAsia="微软雅黑" w:cs="宋体"/>
                <w:b/>
                <w:bCs/>
                <w:sz w:val="22"/>
                <w:szCs w:val="22"/>
              </w:rPr>
            </w:pPr>
            <w:r>
              <w:rPr>
                <w:rFonts w:hint="eastAsia" w:ascii="微软雅黑" w:hAnsi="微软雅黑" w:eastAsia="微软雅黑" w:cs="宋体"/>
                <w:b/>
                <w:bCs/>
                <w:sz w:val="22"/>
                <w:szCs w:val="22"/>
              </w:rPr>
              <w:t>描述</w:t>
            </w:r>
          </w:p>
        </w:tc>
        <w:tc>
          <w:tcPr>
            <w:tcW w:w="708" w:type="dxa"/>
            <w:tcBorders>
              <w:top w:val="single" w:color="auto" w:sz="4" w:space="0"/>
              <w:left w:val="single" w:color="auto" w:sz="4" w:space="0"/>
              <w:bottom w:val="single" w:color="auto" w:sz="4" w:space="0"/>
              <w:right w:val="nil"/>
            </w:tcBorders>
            <w:shd w:val="clear" w:color="000000" w:fill="C0C0C0"/>
            <w:noWrap/>
            <w:vAlign w:val="center"/>
          </w:tcPr>
          <w:p>
            <w:pPr>
              <w:widowControl/>
              <w:jc w:val="center"/>
              <w:rPr>
                <w:rFonts w:ascii="微软雅黑" w:hAnsi="微软雅黑" w:eastAsia="微软雅黑" w:cs="宋体"/>
                <w:b/>
                <w:bCs/>
                <w:sz w:val="22"/>
                <w:szCs w:val="22"/>
              </w:rPr>
            </w:pPr>
            <w:r>
              <w:rPr>
                <w:rFonts w:hint="eastAsia" w:ascii="微软雅黑" w:hAnsi="微软雅黑" w:eastAsia="微软雅黑" w:cs="宋体"/>
                <w:b/>
                <w:bCs/>
                <w:sz w:val="22"/>
                <w:szCs w:val="22"/>
              </w:rPr>
              <w:t>单位</w:t>
            </w:r>
          </w:p>
        </w:tc>
        <w:tc>
          <w:tcPr>
            <w:tcW w:w="709" w:type="dxa"/>
            <w:tcBorders>
              <w:top w:val="single" w:color="auto" w:sz="4" w:space="0"/>
              <w:left w:val="single" w:color="auto" w:sz="4" w:space="0"/>
              <w:bottom w:val="single" w:color="auto" w:sz="4" w:space="0"/>
              <w:right w:val="nil"/>
            </w:tcBorders>
            <w:shd w:val="clear" w:color="000000" w:fill="C0C0C0"/>
            <w:noWrap/>
            <w:vAlign w:val="center"/>
          </w:tcPr>
          <w:p>
            <w:pPr>
              <w:widowControl/>
              <w:jc w:val="center"/>
              <w:rPr>
                <w:rFonts w:ascii="微软雅黑" w:hAnsi="微软雅黑" w:eastAsia="微软雅黑" w:cs="宋体"/>
                <w:b/>
                <w:bCs/>
                <w:sz w:val="22"/>
                <w:szCs w:val="22"/>
              </w:rPr>
            </w:pPr>
            <w:r>
              <w:rPr>
                <w:rFonts w:hint="eastAsia" w:ascii="微软雅黑" w:hAnsi="微软雅黑" w:eastAsia="微软雅黑" w:cs="宋体"/>
                <w:b/>
                <w:bCs/>
                <w:sz w:val="22"/>
                <w:szCs w:val="22"/>
              </w:rPr>
              <w:t>数量</w:t>
            </w:r>
          </w:p>
        </w:tc>
        <w:tc>
          <w:tcPr>
            <w:tcW w:w="946" w:type="dxa"/>
            <w:tcBorders>
              <w:top w:val="single" w:color="auto" w:sz="4" w:space="0"/>
              <w:left w:val="single" w:color="auto" w:sz="4" w:space="0"/>
              <w:bottom w:val="single" w:color="auto" w:sz="4" w:space="0"/>
              <w:right w:val="nil"/>
            </w:tcBorders>
            <w:shd w:val="clear" w:color="000000" w:fill="C0C0C0"/>
            <w:vAlign w:val="center"/>
          </w:tcPr>
          <w:p>
            <w:pPr>
              <w:widowControl/>
              <w:jc w:val="center"/>
              <w:rPr>
                <w:rFonts w:hint="eastAsia" w:ascii="微软雅黑" w:hAnsi="微软雅黑" w:eastAsia="微软雅黑" w:cs="宋体"/>
                <w:b/>
                <w:bCs/>
                <w:sz w:val="22"/>
                <w:szCs w:val="22"/>
              </w:rPr>
            </w:pPr>
            <w:r>
              <w:rPr>
                <w:rFonts w:hint="eastAsia" w:ascii="微软雅黑" w:hAnsi="微软雅黑" w:eastAsia="微软雅黑" w:cs="宋体"/>
                <w:b/>
                <w:bCs/>
                <w:sz w:val="22"/>
                <w:szCs w:val="22"/>
              </w:rPr>
              <w:t>备注</w:t>
            </w:r>
          </w:p>
        </w:tc>
      </w:tr>
      <w:tr>
        <w:tblPrEx>
          <w:tblCellMar>
            <w:top w:w="0" w:type="dxa"/>
            <w:left w:w="108" w:type="dxa"/>
            <w:bottom w:w="0" w:type="dxa"/>
            <w:right w:w="108" w:type="dxa"/>
          </w:tblCellMar>
        </w:tblPrEx>
        <w:trPr>
          <w:trHeight w:val="1305"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1</w:t>
            </w:r>
          </w:p>
        </w:tc>
        <w:tc>
          <w:tcPr>
            <w:tcW w:w="112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无线AC</w:t>
            </w:r>
          </w:p>
        </w:tc>
        <w:tc>
          <w:tcPr>
            <w:tcW w:w="1374" w:type="dxa"/>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eastAsia="宋体" w:cs="宋体"/>
                <w:sz w:val="21"/>
                <w:szCs w:val="21"/>
              </w:rPr>
            </w:pPr>
            <w:r>
              <w:rPr>
                <w:rFonts w:hint="eastAsia" w:ascii="宋体" w:hAnsi="宋体" w:eastAsia="宋体" w:cs="宋体"/>
                <w:sz w:val="21"/>
                <w:szCs w:val="21"/>
              </w:rPr>
              <w:t>S380-L4T1T</w:t>
            </w:r>
          </w:p>
        </w:tc>
        <w:tc>
          <w:tcPr>
            <w:tcW w:w="3499"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eastAsia="宋体" w:cs="宋体"/>
                <w:sz w:val="21"/>
                <w:szCs w:val="21"/>
              </w:rPr>
            </w:pPr>
            <w:r>
              <w:rPr>
                <w:rFonts w:hint="eastAsia" w:ascii="宋体" w:hAnsi="宋体" w:eastAsia="宋体" w:cs="宋体"/>
                <w:sz w:val="21"/>
                <w:szCs w:val="21"/>
              </w:rPr>
              <w:t>S380-L4T1T (4个 10/100/1000BASE-T 以太网端口, 1个10/100/1000BASE-T以太网端口,交流供电)带机量200台,出口带宽1G,1*GE(WAN口),4*GE(LAN口),Mac地址表:2K,自然散热,桌面款,支持AC功能,最大可管理32个AP,支持EasyWeb功能</w:t>
            </w:r>
          </w:p>
        </w:tc>
        <w:tc>
          <w:tcPr>
            <w:tcW w:w="708" w:type="dxa"/>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eastAsia="宋体" w:cs="宋体"/>
                <w:sz w:val="21"/>
                <w:szCs w:val="21"/>
              </w:rPr>
            </w:pPr>
            <w:r>
              <w:rPr>
                <w:rFonts w:hint="eastAsia" w:ascii="宋体" w:hAnsi="宋体" w:eastAsia="宋体" w:cs="宋体"/>
                <w:sz w:val="21"/>
                <w:szCs w:val="21"/>
              </w:rPr>
              <w:t>台</w:t>
            </w:r>
          </w:p>
        </w:tc>
        <w:tc>
          <w:tcPr>
            <w:tcW w:w="709"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2</w:t>
            </w:r>
          </w:p>
        </w:tc>
        <w:tc>
          <w:tcPr>
            <w:tcW w:w="946"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rPr>
              <w:t>卖方供</w:t>
            </w:r>
          </w:p>
        </w:tc>
      </w:tr>
      <w:tr>
        <w:tblPrEx>
          <w:tblCellMar>
            <w:top w:w="0" w:type="dxa"/>
            <w:left w:w="108" w:type="dxa"/>
            <w:bottom w:w="0" w:type="dxa"/>
            <w:right w:w="108" w:type="dxa"/>
          </w:tblCellMar>
        </w:tblPrEx>
        <w:trPr>
          <w:trHeight w:val="2088" w:hRule="atLeast"/>
        </w:trPr>
        <w:tc>
          <w:tcPr>
            <w:tcW w:w="661"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2</w:t>
            </w:r>
          </w:p>
        </w:tc>
        <w:tc>
          <w:tcPr>
            <w:tcW w:w="112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室外AP</w:t>
            </w:r>
          </w:p>
        </w:tc>
        <w:tc>
          <w:tcPr>
            <w:tcW w:w="137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AP771</w:t>
            </w:r>
          </w:p>
        </w:tc>
        <w:tc>
          <w:tcPr>
            <w:tcW w:w="349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eastAsia="宋体" w:cs="宋体"/>
                <w:sz w:val="21"/>
                <w:szCs w:val="21"/>
              </w:rPr>
            </w:pPr>
            <w:r>
              <w:rPr>
                <w:rFonts w:hint="eastAsia" w:ascii="宋体" w:hAnsi="宋体" w:eastAsia="宋体" w:cs="宋体"/>
                <w:sz w:val="21"/>
                <w:szCs w:val="21"/>
              </w:rPr>
              <w:t>AP771(11ax室外型,2+2双频,内置天线,蓝牙)室外AP,IP68等级,200mm*200mm*69mm，上行：1*SFP+ 1*GE ， 支持802.11ax,2+2  双频，整机数率1.775Gbps,最大发射功率28dBm,支持BLE 5.2，最大功耗17.7W,内置定向天线，支持LeaderAP，Leader AP 管理32个，推荐最佳体验距离250m内,实测最大空旷覆盖距离500m（受限于国家码和功率限制），推荐用户数120 ,安装方式：支持挂墙和抱杆</w:t>
            </w:r>
          </w:p>
        </w:tc>
        <w:tc>
          <w:tcPr>
            <w:tcW w:w="70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sz w:val="21"/>
                <w:szCs w:val="21"/>
              </w:rPr>
            </w:pPr>
            <w:r>
              <w:rPr>
                <w:rFonts w:hint="eastAsia" w:ascii="宋体" w:hAnsi="宋体" w:eastAsia="宋体" w:cs="宋体"/>
                <w:sz w:val="21"/>
                <w:szCs w:val="21"/>
              </w:rPr>
              <w:t>个</w:t>
            </w:r>
          </w:p>
        </w:tc>
        <w:tc>
          <w:tcPr>
            <w:tcW w:w="709"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6</w:t>
            </w:r>
          </w:p>
        </w:tc>
        <w:tc>
          <w:tcPr>
            <w:tcW w:w="946" w:type="dxa"/>
            <w:tcBorders>
              <w:top w:val="nil"/>
              <w:left w:val="nil"/>
              <w:bottom w:val="single" w:color="000000" w:sz="4" w:space="0"/>
              <w:right w:val="single" w:color="000000" w:sz="4" w:space="0"/>
            </w:tcBorders>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rPr>
              <w:t>卖方供</w:t>
            </w:r>
          </w:p>
        </w:tc>
      </w:tr>
      <w:tr>
        <w:trPr>
          <w:trHeight w:val="1305" w:hRule="atLeast"/>
        </w:trPr>
        <w:tc>
          <w:tcPr>
            <w:tcW w:w="661"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3</w:t>
            </w:r>
          </w:p>
        </w:tc>
        <w:tc>
          <w:tcPr>
            <w:tcW w:w="112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室内AP</w:t>
            </w:r>
          </w:p>
        </w:tc>
        <w:tc>
          <w:tcPr>
            <w:tcW w:w="137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AP361</w:t>
            </w:r>
          </w:p>
        </w:tc>
        <w:tc>
          <w:tcPr>
            <w:tcW w:w="349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eastAsia="宋体" w:cs="宋体"/>
                <w:sz w:val="21"/>
                <w:szCs w:val="21"/>
              </w:rPr>
            </w:pPr>
            <w:r>
              <w:rPr>
                <w:rFonts w:hint="eastAsia" w:ascii="宋体" w:hAnsi="宋体" w:eastAsia="宋体" w:cs="宋体"/>
                <w:sz w:val="21"/>
                <w:szCs w:val="21"/>
              </w:rPr>
              <w:t>AP361(11ax室内型,2+2双频,智能天线)吸顶AP,直径180mm,高35mm,上行1个千兆电口,支持802.11ax,2+2双频,整机速率1.775Gbps,最大发射功率20dBm,最大功耗8.8W,智能天线,,推荐用户数80个，推荐并发用户数28个(8M每终端)，覆盖半径18m</w:t>
            </w:r>
          </w:p>
        </w:tc>
        <w:tc>
          <w:tcPr>
            <w:tcW w:w="70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sz w:val="21"/>
                <w:szCs w:val="21"/>
              </w:rPr>
            </w:pPr>
            <w:r>
              <w:rPr>
                <w:rFonts w:hint="eastAsia" w:ascii="宋体" w:hAnsi="宋体" w:eastAsia="宋体" w:cs="宋体"/>
                <w:sz w:val="21"/>
                <w:szCs w:val="21"/>
              </w:rPr>
              <w:t>个</w:t>
            </w:r>
          </w:p>
        </w:tc>
        <w:tc>
          <w:tcPr>
            <w:tcW w:w="709"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10</w:t>
            </w:r>
          </w:p>
        </w:tc>
        <w:tc>
          <w:tcPr>
            <w:tcW w:w="946" w:type="dxa"/>
            <w:tcBorders>
              <w:top w:val="nil"/>
              <w:left w:val="nil"/>
              <w:bottom w:val="single" w:color="000000" w:sz="4" w:space="0"/>
              <w:right w:val="single" w:color="000000" w:sz="4" w:space="0"/>
            </w:tcBorders>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rPr>
              <w:t>卖方供</w:t>
            </w:r>
          </w:p>
        </w:tc>
      </w:tr>
      <w:tr>
        <w:trPr>
          <w:trHeight w:val="522" w:hRule="atLeast"/>
        </w:trPr>
        <w:tc>
          <w:tcPr>
            <w:tcW w:w="661"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4</w:t>
            </w:r>
          </w:p>
        </w:tc>
        <w:tc>
          <w:tcPr>
            <w:tcW w:w="112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防火墙</w:t>
            </w:r>
          </w:p>
        </w:tc>
        <w:tc>
          <w:tcPr>
            <w:tcW w:w="137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USG6000E-S02</w:t>
            </w:r>
          </w:p>
        </w:tc>
        <w:tc>
          <w:tcPr>
            <w:tcW w:w="349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eastAsia="宋体" w:cs="宋体"/>
                <w:sz w:val="21"/>
                <w:szCs w:val="21"/>
              </w:rPr>
            </w:pPr>
            <w:r>
              <w:rPr>
                <w:rFonts w:hint="eastAsia" w:ascii="宋体" w:hAnsi="宋体" w:eastAsia="宋体" w:cs="宋体"/>
                <w:sz w:val="21"/>
                <w:szCs w:val="21"/>
              </w:rPr>
              <w:t>USG6000E-S02交流主机(10*GE RJ45+2*GE SFP,1*电源适配器,含SSL VPN 100用户)</w:t>
            </w:r>
          </w:p>
        </w:tc>
        <w:tc>
          <w:tcPr>
            <w:tcW w:w="70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sz w:val="21"/>
                <w:szCs w:val="21"/>
              </w:rPr>
            </w:pPr>
            <w:r>
              <w:rPr>
                <w:rFonts w:hint="eastAsia" w:ascii="宋体" w:hAnsi="宋体" w:eastAsia="宋体" w:cs="宋体"/>
                <w:sz w:val="21"/>
                <w:szCs w:val="21"/>
              </w:rPr>
              <w:t>台</w:t>
            </w:r>
          </w:p>
        </w:tc>
        <w:tc>
          <w:tcPr>
            <w:tcW w:w="709"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2</w:t>
            </w:r>
          </w:p>
        </w:tc>
        <w:tc>
          <w:tcPr>
            <w:tcW w:w="946" w:type="dxa"/>
            <w:tcBorders>
              <w:top w:val="nil"/>
              <w:left w:val="nil"/>
              <w:bottom w:val="single" w:color="000000" w:sz="4" w:space="0"/>
              <w:right w:val="single" w:color="000000" w:sz="4" w:space="0"/>
            </w:tcBorders>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rPr>
              <w:t>卖方供</w:t>
            </w:r>
          </w:p>
        </w:tc>
      </w:tr>
      <w:tr>
        <w:tblPrEx>
          <w:tblCellMar>
            <w:top w:w="0" w:type="dxa"/>
            <w:left w:w="108" w:type="dxa"/>
            <w:bottom w:w="0" w:type="dxa"/>
            <w:right w:w="108" w:type="dxa"/>
          </w:tblCellMar>
        </w:tblPrEx>
        <w:trPr>
          <w:trHeight w:val="282" w:hRule="atLeast"/>
        </w:trPr>
        <w:tc>
          <w:tcPr>
            <w:tcW w:w="661"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5</w:t>
            </w:r>
          </w:p>
        </w:tc>
        <w:tc>
          <w:tcPr>
            <w:tcW w:w="112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千兆单模</w:t>
            </w:r>
          </w:p>
        </w:tc>
        <w:tc>
          <w:tcPr>
            <w:tcW w:w="137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SFP-GE-LX-SM1310</w:t>
            </w:r>
          </w:p>
        </w:tc>
        <w:tc>
          <w:tcPr>
            <w:tcW w:w="349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eastAsia="宋体" w:cs="宋体"/>
                <w:sz w:val="21"/>
                <w:szCs w:val="21"/>
              </w:rPr>
            </w:pPr>
            <w:r>
              <w:rPr>
                <w:rFonts w:hint="eastAsia" w:ascii="宋体" w:hAnsi="宋体" w:eastAsia="宋体" w:cs="宋体"/>
                <w:sz w:val="21"/>
                <w:szCs w:val="21"/>
              </w:rPr>
              <w:t>光模块-eSFP-GE-单模模块(1310nm,10km,LC)</w:t>
            </w:r>
          </w:p>
        </w:tc>
        <w:tc>
          <w:tcPr>
            <w:tcW w:w="70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sz w:val="21"/>
                <w:szCs w:val="21"/>
              </w:rPr>
            </w:pPr>
            <w:r>
              <w:rPr>
                <w:rFonts w:hint="eastAsia" w:ascii="宋体" w:hAnsi="宋体" w:eastAsia="宋体" w:cs="宋体"/>
                <w:sz w:val="21"/>
                <w:szCs w:val="21"/>
              </w:rPr>
              <w:t>台</w:t>
            </w:r>
          </w:p>
        </w:tc>
        <w:tc>
          <w:tcPr>
            <w:tcW w:w="709"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4</w:t>
            </w:r>
          </w:p>
        </w:tc>
        <w:tc>
          <w:tcPr>
            <w:tcW w:w="946" w:type="dxa"/>
            <w:tcBorders>
              <w:top w:val="nil"/>
              <w:left w:val="nil"/>
              <w:bottom w:val="single" w:color="000000" w:sz="4" w:space="0"/>
              <w:right w:val="single" w:color="000000" w:sz="4" w:space="0"/>
            </w:tcBorders>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rPr>
              <w:t>卖方供</w:t>
            </w:r>
          </w:p>
        </w:tc>
      </w:tr>
      <w:tr>
        <w:tblPrEx>
          <w:tblCellMar>
            <w:top w:w="0" w:type="dxa"/>
            <w:left w:w="108" w:type="dxa"/>
            <w:bottom w:w="0" w:type="dxa"/>
            <w:right w:w="108" w:type="dxa"/>
          </w:tblCellMar>
        </w:tblPrEx>
        <w:trPr>
          <w:trHeight w:val="522" w:hRule="atLeast"/>
        </w:trPr>
        <w:tc>
          <w:tcPr>
            <w:tcW w:w="661"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6</w:t>
            </w:r>
          </w:p>
        </w:tc>
        <w:tc>
          <w:tcPr>
            <w:tcW w:w="112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POE交换机</w:t>
            </w:r>
          </w:p>
        </w:tc>
        <w:tc>
          <w:tcPr>
            <w:tcW w:w="137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S210-8P2J</w:t>
            </w:r>
          </w:p>
        </w:tc>
        <w:tc>
          <w:tcPr>
            <w:tcW w:w="349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eastAsia="宋体" w:cs="宋体"/>
                <w:sz w:val="21"/>
                <w:szCs w:val="21"/>
              </w:rPr>
            </w:pPr>
            <w:r>
              <w:rPr>
                <w:rFonts w:hint="eastAsia" w:ascii="宋体" w:hAnsi="宋体" w:eastAsia="宋体" w:cs="宋体"/>
                <w:sz w:val="21"/>
                <w:szCs w:val="21"/>
              </w:rPr>
              <w:t>S210-8P2J(8个10/100/1000BASE-T以太网端口(128W PoE+),4个2.5G SFP,内置交流供电,无风扇)</w:t>
            </w:r>
          </w:p>
        </w:tc>
        <w:tc>
          <w:tcPr>
            <w:tcW w:w="70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sz w:val="21"/>
                <w:szCs w:val="21"/>
              </w:rPr>
            </w:pPr>
            <w:r>
              <w:rPr>
                <w:rFonts w:hint="eastAsia" w:ascii="宋体" w:hAnsi="宋体" w:eastAsia="宋体" w:cs="宋体"/>
                <w:sz w:val="21"/>
                <w:szCs w:val="21"/>
              </w:rPr>
              <w:t>台</w:t>
            </w:r>
          </w:p>
        </w:tc>
        <w:tc>
          <w:tcPr>
            <w:tcW w:w="709"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eastAsia="宋体" w:cs="宋体"/>
                <w:sz w:val="21"/>
                <w:szCs w:val="21"/>
              </w:rPr>
            </w:pPr>
            <w:r>
              <w:rPr>
                <w:rFonts w:hint="eastAsia" w:ascii="宋体" w:hAnsi="宋体" w:eastAsia="宋体" w:cs="宋体"/>
                <w:sz w:val="21"/>
                <w:szCs w:val="21"/>
              </w:rPr>
              <w:t>5</w:t>
            </w:r>
          </w:p>
        </w:tc>
        <w:tc>
          <w:tcPr>
            <w:tcW w:w="946" w:type="dxa"/>
            <w:tcBorders>
              <w:top w:val="nil"/>
              <w:left w:val="nil"/>
              <w:bottom w:val="single" w:color="000000" w:sz="4" w:space="0"/>
              <w:right w:val="single" w:color="000000" w:sz="4" w:space="0"/>
            </w:tcBorders>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rPr>
              <w:t>卖方供</w:t>
            </w:r>
          </w:p>
        </w:tc>
      </w:tr>
      <w:tr>
        <w:trPr>
          <w:trHeight w:val="841" w:hRule="atLeast"/>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sz w:val="21"/>
                <w:szCs w:val="21"/>
              </w:rPr>
            </w:pPr>
            <w:r>
              <w:rPr>
                <w:rFonts w:hint="eastAsia" w:ascii="宋体" w:hAnsi="宋体" w:eastAsia="宋体" w:cs="宋体"/>
                <w:color w:val="000000"/>
                <w:sz w:val="21"/>
                <w:szCs w:val="21"/>
              </w:rPr>
              <w:t>7</w:t>
            </w:r>
          </w:p>
        </w:tc>
        <w:tc>
          <w:tcPr>
            <w:tcW w:w="112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sz w:val="21"/>
                <w:szCs w:val="21"/>
              </w:rPr>
            </w:pPr>
            <w:r>
              <w:rPr>
                <w:rFonts w:hint="eastAsia" w:ascii="宋体" w:hAnsi="宋体" w:eastAsia="宋体" w:cs="宋体"/>
                <w:color w:val="000000"/>
                <w:sz w:val="21"/>
                <w:szCs w:val="21"/>
              </w:rPr>
              <w:t>依托克吊称</w:t>
            </w:r>
          </w:p>
        </w:tc>
        <w:tc>
          <w:tcPr>
            <w:tcW w:w="137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sz w:val="21"/>
                <w:szCs w:val="21"/>
              </w:rPr>
            </w:pPr>
            <w:r>
              <w:rPr>
                <w:rFonts w:hint="eastAsia" w:ascii="宋体" w:hAnsi="宋体" w:eastAsia="宋体" w:cs="宋体"/>
                <w:color w:val="000000"/>
                <w:sz w:val="21"/>
                <w:szCs w:val="21"/>
              </w:rPr>
              <w:t>ytk-3吨</w:t>
            </w:r>
          </w:p>
        </w:tc>
        <w:tc>
          <w:tcPr>
            <w:tcW w:w="3499"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sz w:val="21"/>
                <w:szCs w:val="21"/>
              </w:rPr>
            </w:pPr>
            <w:r>
              <w:rPr>
                <w:rFonts w:hint="eastAsia" w:ascii="宋体" w:hAnsi="宋体" w:eastAsia="宋体" w:cs="宋体"/>
                <w:color w:val="000000"/>
                <w:sz w:val="21"/>
                <w:szCs w:val="21"/>
              </w:rPr>
              <w:t>大屏3吨高精度配置增强无线模块接口有RS232(可外接转RS485)和模拟量4-20ma，有5位LED显示，3个按键设置参数可无线连接无线仪表，无线手持仪表，无线ADF，直显秤(直视秤需要加发射模块)。配ADF可设置主机模式和从机模式，从机可跟主机同步显示，可远程同步置零</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RS232数字输出协议有MODBUS-RTU,耀华A7格式(D2+)，万泰5A协议，字符串输出。工作电压:DC18-24V 电流:35mA 无线距离200-500米4-20mA模拟量精度:0.1%</w:t>
            </w: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sz w:val="21"/>
                <w:szCs w:val="21"/>
              </w:rPr>
            </w:pPr>
            <w:r>
              <w:rPr>
                <w:rFonts w:hint="eastAsia" w:ascii="宋体" w:hAnsi="宋体" w:eastAsia="宋体" w:cs="宋体"/>
                <w:color w:val="000000"/>
                <w:sz w:val="21"/>
                <w:szCs w:val="21"/>
              </w:rPr>
              <w:t>台</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sz w:val="21"/>
                <w:szCs w:val="21"/>
              </w:rPr>
            </w:pPr>
            <w:r>
              <w:rPr>
                <w:rFonts w:hint="eastAsia" w:ascii="宋体" w:hAnsi="宋体" w:eastAsia="宋体" w:cs="宋体"/>
                <w:color w:val="000000"/>
                <w:sz w:val="21"/>
                <w:szCs w:val="21"/>
              </w:rPr>
              <w:t>4</w:t>
            </w:r>
          </w:p>
        </w:tc>
        <w:tc>
          <w:tcPr>
            <w:tcW w:w="94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sz w:val="21"/>
                <w:szCs w:val="21"/>
              </w:rPr>
            </w:pPr>
            <w:r>
              <w:rPr>
                <w:rFonts w:hint="eastAsia" w:ascii="宋体" w:hAnsi="宋体" w:eastAsia="宋体" w:cs="宋体"/>
                <w:sz w:val="21"/>
                <w:szCs w:val="21"/>
              </w:rPr>
              <w:t>卖方供</w:t>
            </w:r>
          </w:p>
        </w:tc>
      </w:tr>
      <w:tr>
        <w:trPr>
          <w:trHeight w:val="753" w:hRule="atLeast"/>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sz w:val="21"/>
                <w:szCs w:val="21"/>
              </w:rPr>
            </w:pPr>
            <w:r>
              <w:rPr>
                <w:rFonts w:hint="eastAsia" w:ascii="宋体" w:hAnsi="宋体" w:eastAsia="宋体" w:cs="宋体"/>
                <w:color w:val="000000"/>
                <w:sz w:val="21"/>
                <w:szCs w:val="21"/>
              </w:rPr>
              <w:t>8</w:t>
            </w:r>
          </w:p>
        </w:tc>
        <w:tc>
          <w:tcPr>
            <w:tcW w:w="112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sz w:val="21"/>
                <w:szCs w:val="21"/>
              </w:rPr>
            </w:pPr>
            <w:r>
              <w:rPr>
                <w:rFonts w:hint="eastAsia" w:ascii="宋体" w:hAnsi="宋体" w:eastAsia="宋体" w:cs="宋体"/>
                <w:color w:val="000000"/>
                <w:sz w:val="21"/>
                <w:szCs w:val="21"/>
              </w:rPr>
              <w:t>绿联串口线</w:t>
            </w:r>
          </w:p>
        </w:tc>
        <w:tc>
          <w:tcPr>
            <w:tcW w:w="137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sz w:val="21"/>
                <w:szCs w:val="21"/>
              </w:rPr>
            </w:pPr>
            <w:r>
              <w:rPr>
                <w:rFonts w:hint="eastAsia" w:ascii="宋体" w:hAnsi="宋体" w:eastAsia="宋体" w:cs="宋体"/>
                <w:color w:val="000000"/>
                <w:sz w:val="21"/>
                <w:szCs w:val="21"/>
              </w:rPr>
              <w:t>RS232toUSB</w:t>
            </w:r>
          </w:p>
        </w:tc>
        <w:tc>
          <w:tcPr>
            <w:tcW w:w="3499"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sz w:val="21"/>
                <w:szCs w:val="21"/>
              </w:rPr>
            </w:pPr>
            <w:r>
              <w:rPr>
                <w:rFonts w:hint="eastAsia" w:ascii="宋体" w:hAnsi="宋体" w:eastAsia="宋体" w:cs="宋体"/>
                <w:color w:val="000000"/>
                <w:sz w:val="21"/>
                <w:szCs w:val="21"/>
              </w:rPr>
              <w:t>USB公转RS232公</w:t>
            </w: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sz w:val="21"/>
                <w:szCs w:val="21"/>
              </w:rPr>
            </w:pPr>
            <w:r>
              <w:rPr>
                <w:rFonts w:hint="eastAsia" w:ascii="宋体" w:hAnsi="宋体" w:eastAsia="宋体" w:cs="宋体"/>
                <w:color w:val="000000"/>
                <w:sz w:val="21"/>
                <w:szCs w:val="21"/>
              </w:rPr>
              <w:t>条</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sz w:val="21"/>
                <w:szCs w:val="21"/>
              </w:rPr>
            </w:pPr>
            <w:r>
              <w:rPr>
                <w:rFonts w:hint="eastAsia" w:ascii="宋体" w:hAnsi="宋体" w:eastAsia="宋体" w:cs="宋体"/>
                <w:color w:val="000000"/>
                <w:sz w:val="21"/>
                <w:szCs w:val="21"/>
              </w:rPr>
              <w:t>4</w:t>
            </w:r>
          </w:p>
        </w:tc>
        <w:tc>
          <w:tcPr>
            <w:tcW w:w="94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sz w:val="21"/>
                <w:szCs w:val="21"/>
              </w:rPr>
            </w:pPr>
            <w:r>
              <w:rPr>
                <w:rFonts w:hint="eastAsia" w:ascii="宋体" w:hAnsi="宋体" w:eastAsia="宋体" w:cs="宋体"/>
                <w:sz w:val="21"/>
                <w:szCs w:val="21"/>
              </w:rPr>
              <w:t>卖方供</w:t>
            </w:r>
          </w:p>
        </w:tc>
      </w:tr>
      <w:tr>
        <w:trPr>
          <w:trHeight w:val="753" w:hRule="atLeast"/>
        </w:trPr>
        <w:tc>
          <w:tcPr>
            <w:tcW w:w="6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9</w:t>
            </w:r>
          </w:p>
        </w:tc>
        <w:tc>
          <w:tcPr>
            <w:tcW w:w="112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锌锭库管系统</w:t>
            </w:r>
          </w:p>
        </w:tc>
        <w:tc>
          <w:tcPr>
            <w:tcW w:w="137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sz w:val="21"/>
                <w:szCs w:val="21"/>
              </w:rPr>
            </w:pPr>
          </w:p>
        </w:tc>
        <w:tc>
          <w:tcPr>
            <w:tcW w:w="3499"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系统为</w:t>
            </w:r>
            <w:r>
              <w:rPr>
                <w:rFonts w:hint="eastAsia" w:ascii="宋体" w:hAnsi="宋体" w:eastAsia="宋体" w:cs="宋体"/>
                <w:color w:val="000000"/>
                <w:sz w:val="21"/>
                <w:szCs w:val="21"/>
              </w:rPr>
              <w:t>以条码扫码体系、PDA移动终端、工业互联网为支撑的一体化智能锌锭库管平台</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实现锌锭从入库到消耗的全生命周期跟踪，实现G1、G2库房独立管控、数据隔离与整体统筹</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实现</w:t>
            </w:r>
            <w:r>
              <w:rPr>
                <w:rFonts w:hint="eastAsia" w:ascii="宋体" w:hAnsi="宋体" w:eastAsia="宋体" w:cs="宋体"/>
                <w:color w:val="000000"/>
                <w:sz w:val="21"/>
                <w:szCs w:val="21"/>
              </w:rPr>
              <w:t>仓储信息化管理，实现库存数据实时动态更新与账实相符</w:t>
            </w:r>
            <w:r>
              <w:rPr>
                <w:rFonts w:hint="eastAsia" w:ascii="宋体" w:hAnsi="宋体" w:eastAsia="宋体" w:cs="宋体"/>
                <w:color w:val="000000"/>
                <w:sz w:val="21"/>
                <w:szCs w:val="21"/>
                <w:lang w:eastAsia="zh-CN"/>
              </w:rPr>
              <w:t>。</w:t>
            </w: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套</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4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sz w:val="21"/>
                <w:szCs w:val="21"/>
              </w:rPr>
            </w:pPr>
            <w:r>
              <w:rPr>
                <w:rFonts w:hint="eastAsia" w:ascii="宋体" w:hAnsi="宋体" w:eastAsia="宋体" w:cs="宋体"/>
                <w:sz w:val="21"/>
                <w:szCs w:val="21"/>
              </w:rPr>
              <w:t>卖方供</w:t>
            </w:r>
          </w:p>
        </w:tc>
      </w:tr>
    </w:tbl>
    <w:p>
      <w:pPr>
        <w:spacing w:before="80" w:after="80" w:line="360" w:lineRule="auto"/>
        <w:ind w:firstLine="480" w:firstLineChars="200"/>
        <w:jc w:val="left"/>
        <w:rPr>
          <w:rFonts w:ascii="仿宋" w:hAnsi="仿宋" w:eastAsia="仿宋"/>
        </w:rPr>
      </w:pPr>
      <w:r>
        <w:rPr>
          <w:rFonts w:ascii="仿宋" w:hAnsi="仿宋" w:eastAsia="仿宋"/>
        </w:rPr>
        <w:t>乙方必须为系统完整性负责。乙方交付的设备，必须完全满足技术要求中的要求</w:t>
      </w:r>
      <w:r>
        <w:rPr>
          <w:rFonts w:hint="eastAsia" w:ascii="仿宋" w:hAnsi="仿宋" w:eastAsia="仿宋"/>
          <w:lang w:eastAsia="zh-CN"/>
        </w:rPr>
        <w:t>，</w:t>
      </w:r>
      <w:r>
        <w:rPr>
          <w:rFonts w:hint="eastAsia" w:ascii="仿宋" w:hAnsi="仿宋" w:eastAsia="仿宋"/>
          <w:lang w:val="en-US" w:eastAsia="zh-CN"/>
        </w:rPr>
        <w:t>负责系统内设备的调试</w:t>
      </w:r>
      <w:r>
        <w:rPr>
          <w:rFonts w:ascii="仿宋" w:hAnsi="仿宋" w:eastAsia="仿宋"/>
        </w:rPr>
        <w:t>。甲方如验收发现问题，乙方无偿负责处理。为保证系统的完整性，设备清单中未包括的设备及材料、辅件由乙方免费供应。</w:t>
      </w:r>
    </w:p>
    <w:p>
      <w:pPr>
        <w:pStyle w:val="3"/>
        <w:ind w:firstLine="482" w:firstLineChars="200"/>
        <w:rPr>
          <w:rFonts w:ascii="仿宋" w:hAnsi="仿宋" w:eastAsia="仿宋"/>
          <w:sz w:val="24"/>
          <w:szCs w:val="24"/>
        </w:rPr>
      </w:pPr>
      <w:r>
        <w:rPr>
          <w:rFonts w:hint="eastAsia" w:ascii="黑体" w:hAnsi="黑体" w:eastAsia="黑体"/>
          <w:sz w:val="24"/>
          <w:szCs w:val="24"/>
          <w:lang w:val="en-US" w:eastAsia="zh-CN"/>
        </w:rPr>
        <w:t>四</w:t>
      </w:r>
      <w:r>
        <w:rPr>
          <w:rFonts w:ascii="黑体" w:hAnsi="黑体" w:eastAsia="黑体"/>
          <w:sz w:val="24"/>
          <w:szCs w:val="24"/>
        </w:rPr>
        <w:t>、</w:t>
      </w:r>
      <w:r>
        <w:rPr>
          <w:rFonts w:hint="eastAsia" w:ascii="黑体" w:hAnsi="黑体" w:eastAsia="黑体"/>
          <w:sz w:val="24"/>
          <w:szCs w:val="24"/>
          <w:lang w:val="en-US" w:eastAsia="zh-CN"/>
        </w:rPr>
        <w:t>应用流程</w:t>
      </w:r>
      <w:r>
        <w:rPr>
          <w:rFonts w:ascii="黑体" w:hAnsi="黑体" w:eastAsia="黑体"/>
          <w:sz w:val="24"/>
          <w:szCs w:val="24"/>
        </w:rPr>
        <w:t>要求</w:t>
      </w:r>
    </w:p>
    <w:p>
      <w:pPr>
        <w:spacing w:before="80" w:after="80" w:line="360" w:lineRule="auto"/>
        <w:ind w:firstLine="480" w:firstLineChars="200"/>
        <w:jc w:val="left"/>
        <w:rPr>
          <w:rFonts w:ascii="仿宋" w:hAnsi="仿宋" w:eastAsia="仿宋"/>
        </w:rPr>
      </w:pPr>
      <w:r>
        <w:rPr>
          <w:rFonts w:ascii="仿宋" w:hAnsi="仿宋" w:eastAsia="仿宋"/>
        </w:rPr>
        <w:t>系统采用B/S架构与移动端架构相结合的分层设计，主要包括系统基础管理、出入库管理、库存与盘点管理、智能报表分析、大数据对接</w:t>
      </w:r>
      <w:r>
        <w:rPr>
          <w:rFonts w:hint="eastAsia" w:ascii="仿宋" w:hAnsi="仿宋" w:eastAsia="仿宋"/>
        </w:rPr>
        <w:t>、自动称重</w:t>
      </w:r>
      <w:r>
        <w:rPr>
          <w:rFonts w:ascii="仿宋" w:hAnsi="仿宋" w:eastAsia="仿宋"/>
        </w:rPr>
        <w:t>等模块。PC端管理后台面向管理人员，PDA移动作业端面向现场操作人员，适配车间单手操作场景。系统实现G1/G2库房数据分库独立存储、查询、统计，每日自动增量备份，每周全量备份，数据保留周期不少于1年。</w:t>
      </w:r>
    </w:p>
    <w:p>
      <w:pPr>
        <w:spacing w:before="80" w:after="80" w:line="360" w:lineRule="auto"/>
        <w:ind w:firstLine="480" w:firstLineChars="200"/>
        <w:jc w:val="left"/>
        <w:rPr>
          <w:rFonts w:ascii="仿宋" w:hAnsi="仿宋" w:eastAsia="仿宋"/>
        </w:rPr>
      </w:pPr>
      <w:r>
        <w:rPr>
          <w:rFonts w:ascii="仿宋" w:hAnsi="仿宋" w:eastAsia="仿宋"/>
        </w:rPr>
        <w:t>3.1 入库流程：供应商送货至库房，库管员通过PDA扫描收货单二维码批量导入或扫描锌锭条码，完成入库确认。系统自动校验条码唯一性，重复入库立即弹出警示并锁定操作权限。首次录入车号与确认人后，后续扫码自动绑定批次，一键入库。实时显示已入库数量/重量。</w:t>
      </w:r>
    </w:p>
    <w:p>
      <w:pPr>
        <w:spacing w:before="80" w:after="80" w:line="360" w:lineRule="auto"/>
        <w:ind w:firstLine="480" w:firstLineChars="200"/>
        <w:jc w:val="left"/>
        <w:rPr>
          <w:rFonts w:ascii="仿宋" w:hAnsi="仿宋" w:eastAsia="仿宋"/>
        </w:rPr>
      </w:pPr>
      <w:r>
        <w:rPr>
          <w:rFonts w:ascii="仿宋" w:hAnsi="仿宋" w:eastAsia="仿宋"/>
        </w:rPr>
        <w:t>3.2 出库流程：产线操作工通过PDA扫描锌锭条码，系统弹出确认框，确认后自动扣减库存。每条产线PDA绑定对应产线，出库数据自动关联产线与班组。连续两块锌锭出库间隔小于40分钟自动标注黄色预警，记录异常信息并推送至管理人员。</w:t>
      </w:r>
    </w:p>
    <w:p>
      <w:pPr>
        <w:spacing w:before="80" w:after="80" w:line="360" w:lineRule="auto"/>
        <w:ind w:firstLine="480" w:firstLineChars="200"/>
        <w:jc w:val="left"/>
        <w:rPr>
          <w:rFonts w:ascii="仿宋" w:hAnsi="仿宋" w:eastAsia="仿宋"/>
        </w:rPr>
      </w:pPr>
      <w:r>
        <w:rPr>
          <w:rFonts w:ascii="仿宋" w:hAnsi="仿宋" w:eastAsia="仿宋"/>
        </w:rPr>
        <w:t>3.3 盘点流程：通过PDA扫码枪逐块扫描，自动匹配库存数据，盘点完成后自动生成盘盈盘亏差异表，标注缺失/多余锌锭编码及信息，支持导出盘点报表并打印。</w:t>
      </w:r>
    </w:p>
    <w:p>
      <w:pPr>
        <w:spacing w:before="80" w:after="80" w:line="360" w:lineRule="auto"/>
        <w:ind w:firstLine="480" w:firstLineChars="200"/>
        <w:jc w:val="left"/>
        <w:rPr>
          <w:rFonts w:ascii="仿宋" w:hAnsi="仿宋" w:eastAsia="仿宋"/>
        </w:rPr>
      </w:pPr>
      <w:r>
        <w:rPr>
          <w:rFonts w:hint="eastAsia" w:ascii="仿宋" w:hAnsi="仿宋" w:eastAsia="仿宋"/>
        </w:rPr>
        <w:t>3</w:t>
      </w:r>
      <w:r>
        <w:rPr>
          <w:rFonts w:ascii="仿宋" w:hAnsi="仿宋" w:eastAsia="仿宋"/>
        </w:rPr>
        <w:t>.4库房独立管控：设置G1、G2两个独立登录入口，操作人员仅可登录对应库房系统；操作日志区分库房记录。</w:t>
      </w:r>
    </w:p>
    <w:p>
      <w:pPr>
        <w:spacing w:before="80" w:after="80" w:line="360" w:lineRule="auto"/>
        <w:ind w:firstLine="480" w:firstLineChars="200"/>
        <w:jc w:val="left"/>
        <w:rPr>
          <w:rFonts w:ascii="仿宋" w:hAnsi="仿宋" w:eastAsia="仿宋"/>
        </w:rPr>
      </w:pPr>
      <w:r>
        <w:rPr>
          <w:rFonts w:hint="eastAsia" w:ascii="仿宋" w:hAnsi="仿宋" w:eastAsia="仿宋"/>
        </w:rPr>
        <w:t>3</w:t>
      </w:r>
      <w:r>
        <w:rPr>
          <w:rFonts w:ascii="仿宋" w:hAnsi="仿宋" w:eastAsia="仿宋"/>
        </w:rPr>
        <w:t>.5基础信息配置：锌锭厂家、规格、标准重量、铝含量、产线对应关系等基础数据维护；内置四班三运转自动排班模板，系统自动匹配作业班组。</w:t>
      </w:r>
    </w:p>
    <w:p>
      <w:pPr>
        <w:spacing w:before="80" w:after="80" w:line="360" w:lineRule="auto"/>
        <w:ind w:firstLine="480" w:firstLineChars="200"/>
        <w:jc w:val="left"/>
        <w:rPr>
          <w:rFonts w:ascii="仿宋" w:hAnsi="仿宋" w:eastAsia="仿宋"/>
        </w:rPr>
      </w:pPr>
      <w:r>
        <w:rPr>
          <w:rFonts w:hint="eastAsia" w:ascii="仿宋" w:hAnsi="仿宋" w:eastAsia="仿宋"/>
        </w:rPr>
        <w:t>3</w:t>
      </w:r>
      <w:r>
        <w:rPr>
          <w:rFonts w:ascii="仿宋" w:hAnsi="仿宋" w:eastAsia="仿宋"/>
        </w:rPr>
        <w:t>.6权限管理：按库管员、班组操作工、生产管理人员、系统管理员四级分配权限，禁止越权操作；所有账号绑定人员工号，操作全程留痕。</w:t>
      </w:r>
    </w:p>
    <w:p>
      <w:pPr>
        <w:spacing w:before="80" w:after="80" w:line="360" w:lineRule="auto"/>
        <w:ind w:firstLine="480" w:firstLineChars="200"/>
        <w:jc w:val="left"/>
        <w:rPr>
          <w:rFonts w:ascii="仿宋" w:hAnsi="仿宋" w:eastAsia="仿宋"/>
        </w:rPr>
      </w:pPr>
      <w:r>
        <w:rPr>
          <w:rFonts w:hint="eastAsia" w:ascii="仿宋" w:hAnsi="仿宋" w:eastAsia="仿宋"/>
        </w:rPr>
        <w:t>3</w:t>
      </w:r>
      <w:r>
        <w:rPr>
          <w:rFonts w:ascii="仿宋" w:hAnsi="仿宋" w:eastAsia="仿宋"/>
        </w:rPr>
        <w:t>.7操作日志管理：记录所有出入库、修改、盘点、删除操作的时间、人员、内容、IP地址，支持按条件追溯查询。</w:t>
      </w:r>
    </w:p>
    <w:p>
      <w:pPr>
        <w:spacing w:before="80" w:after="80" w:line="360" w:lineRule="auto"/>
        <w:ind w:firstLine="480" w:firstLineChars="200"/>
        <w:jc w:val="left"/>
        <w:rPr>
          <w:rFonts w:ascii="仿宋" w:hAnsi="仿宋" w:eastAsia="仿宋"/>
        </w:rPr>
      </w:pPr>
      <w:r>
        <w:rPr>
          <w:rFonts w:hint="eastAsia" w:ascii="仿宋" w:hAnsi="仿宋" w:eastAsia="仿宋"/>
        </w:rPr>
        <w:t>3</w:t>
      </w:r>
      <w:r>
        <w:rPr>
          <w:rFonts w:ascii="仿宋" w:hAnsi="仿宋" w:eastAsia="仿宋"/>
        </w:rPr>
        <w:t>.8标准化接口</w:t>
      </w:r>
      <w:r>
        <w:rPr>
          <w:rFonts w:hint="eastAsia" w:ascii="仿宋" w:hAnsi="仿宋" w:eastAsia="仿宋"/>
        </w:rPr>
        <w:t>：</w:t>
      </w:r>
      <w:r>
        <w:rPr>
          <w:rFonts w:ascii="仿宋" w:hAnsi="仿宋" w:eastAsia="仿宋"/>
        </w:rPr>
        <w:t>无缝对接生产大数据平台，实现库存与生产实绩联动，优化锌耗控制。接口设计应符合信息化系统接口规范，支持标准数据交换格式。</w:t>
      </w:r>
    </w:p>
    <w:p>
      <w:pPr>
        <w:spacing w:before="80" w:after="80" w:line="360" w:lineRule="auto"/>
        <w:ind w:firstLine="480" w:firstLineChars="200"/>
        <w:jc w:val="left"/>
        <w:rPr>
          <w:rFonts w:ascii="仿宋" w:hAnsi="仿宋" w:eastAsia="仿宋"/>
        </w:rPr>
      </w:pPr>
      <w:r>
        <w:rPr>
          <w:rFonts w:ascii="仿宋" w:hAnsi="仿宋" w:eastAsia="仿宋"/>
        </w:rPr>
        <w:t>系统需完全适配</w:t>
      </w:r>
      <w:r>
        <w:rPr>
          <w:rFonts w:hint="eastAsia" w:ascii="仿宋" w:hAnsi="仿宋" w:eastAsia="仿宋"/>
          <w:lang w:val="en-US" w:eastAsia="zh-CN"/>
        </w:rPr>
        <w:t>冷轧涂镀</w:t>
      </w:r>
      <w:r>
        <w:rPr>
          <w:rFonts w:ascii="仿宋" w:hAnsi="仿宋" w:eastAsia="仿宋"/>
        </w:rPr>
        <w:t>厂现有单据格式与管理流程，支持四班三运转生产模式下的作业排班与数据统计，满足工业现场复杂工况需求。</w:t>
      </w:r>
    </w:p>
    <w:p>
      <w:pPr>
        <w:spacing w:before="80" w:after="80" w:line="360" w:lineRule="auto"/>
        <w:ind w:firstLine="482" w:firstLineChars="200"/>
        <w:jc w:val="left"/>
        <w:rPr>
          <w:rFonts w:ascii="仿宋" w:hAnsi="仿宋" w:eastAsia="仿宋"/>
          <w:b/>
        </w:rPr>
      </w:pPr>
      <w:r>
        <w:rPr>
          <w:rFonts w:hint="eastAsia" w:ascii="仿宋" w:hAnsi="仿宋" w:eastAsia="仿宋"/>
          <w:b/>
        </w:rPr>
        <w:t>技术指标：</w:t>
      </w:r>
    </w:p>
    <w:tbl>
      <w:tblPr>
        <w:tblStyle w:val="13"/>
        <w:tblW w:w="8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2"/>
        <w:gridCol w:w="7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widowControl/>
              <w:spacing w:line="300" w:lineRule="atLeast"/>
              <w:jc w:val="center"/>
              <w:rPr>
                <w:rFonts w:ascii="Segoe UI" w:hAnsi="Segoe UI" w:eastAsia="宋体" w:cs="Segoe UI"/>
                <w:b/>
                <w:bCs/>
                <w:color w:val="171717"/>
                <w:sz w:val="21"/>
                <w:szCs w:val="21"/>
              </w:rPr>
            </w:pPr>
            <w:r>
              <w:rPr>
                <w:rFonts w:hint="eastAsia" w:ascii="Segoe UI" w:hAnsi="Segoe UI" w:eastAsia="宋体" w:cs="Segoe UI"/>
                <w:b/>
                <w:bCs/>
                <w:color w:val="171717"/>
                <w:sz w:val="21"/>
                <w:szCs w:val="21"/>
              </w:rPr>
              <w:t>指标项</w:t>
            </w:r>
          </w:p>
        </w:tc>
        <w:tc>
          <w:tcPr>
            <w:tcW w:w="0" w:type="auto"/>
          </w:tcPr>
          <w:p>
            <w:pPr>
              <w:widowControl/>
              <w:spacing w:line="300" w:lineRule="atLeast"/>
              <w:jc w:val="center"/>
              <w:rPr>
                <w:rFonts w:ascii="Segoe UI" w:hAnsi="Segoe UI" w:eastAsia="宋体" w:cs="Segoe UI"/>
                <w:b/>
                <w:bCs/>
                <w:color w:val="171717"/>
                <w:sz w:val="21"/>
                <w:szCs w:val="21"/>
              </w:rPr>
            </w:pPr>
            <w:r>
              <w:rPr>
                <w:rFonts w:ascii="Segoe UI" w:hAnsi="Segoe UI" w:eastAsia="宋体" w:cs="Segoe UI"/>
                <w:b/>
                <w:bCs/>
                <w:color w:val="171717"/>
                <w:sz w:val="21"/>
                <w:szCs w:val="21"/>
              </w:rPr>
              <w:t>内容要点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系统性能指标</w:t>
            </w:r>
          </w:p>
        </w:tc>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操作响应≤3s，扫码识别≤2s/准确率≥99.9%，并发≥10用户，PDA≥10台在线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系统可靠性指标</w:t>
            </w:r>
          </w:p>
        </w:tc>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 xml:space="preserve">运转率≥99.9%，CPU负荷≤40%，存储≤50%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数据管理指标</w:t>
            </w:r>
          </w:p>
        </w:tc>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账实相符率100%，增量+全量备份， G1/G2数据物理隔离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系统安全指标</w:t>
            </w:r>
          </w:p>
        </w:tc>
        <w:tc>
          <w:tcPr>
            <w:tcW w:w="0" w:type="auto"/>
          </w:tcPr>
          <w:p>
            <w:pPr>
              <w:widowControl/>
              <w:spacing w:line="300" w:lineRule="atLeast"/>
              <w:jc w:val="left"/>
              <w:rPr>
                <w:rFonts w:ascii="Segoe UI" w:hAnsi="Segoe UI" w:eastAsia="宋体" w:cs="Segoe UI"/>
                <w:color w:val="404040"/>
                <w:sz w:val="21"/>
                <w:szCs w:val="21"/>
              </w:rPr>
            </w:pPr>
            <w:r>
              <w:rPr>
                <w:rFonts w:hint="eastAsia" w:ascii="Segoe UI" w:hAnsi="Segoe UI" w:eastAsia="宋体" w:cs="Segoe UI"/>
                <w:color w:val="404040"/>
                <w:sz w:val="21"/>
                <w:szCs w:val="21"/>
              </w:rPr>
              <w:t>数据</w:t>
            </w:r>
            <w:r>
              <w:rPr>
                <w:rFonts w:ascii="Segoe UI" w:hAnsi="Segoe UI" w:eastAsia="宋体" w:cs="Segoe UI"/>
                <w:color w:val="404040"/>
                <w:sz w:val="21"/>
                <w:szCs w:val="21"/>
              </w:rPr>
              <w:t>权限管理，操作全程留痕，MAC地址绑定，传输加密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网络覆盖指标</w:t>
            </w:r>
          </w:p>
        </w:tc>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信号≥-65dBm，丢包率≤1%，无缝漫游，802.11ax协议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业务效率指标</w:t>
            </w:r>
          </w:p>
        </w:tc>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出入库效率提升≥60%，失误率降低≥90%，全生命周期追溯，四班三运转适配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接口与扩展性指标</w:t>
            </w:r>
          </w:p>
        </w:tc>
        <w:tc>
          <w:tcPr>
            <w:tcW w:w="0" w:type="auto"/>
          </w:tcPr>
          <w:p>
            <w:pPr>
              <w:widowControl/>
              <w:spacing w:line="300" w:lineRule="atLeast"/>
              <w:jc w:val="left"/>
              <w:rPr>
                <w:rFonts w:ascii="Segoe UI" w:hAnsi="Segoe UI" w:eastAsia="宋体" w:cs="Segoe UI"/>
                <w:color w:val="404040"/>
                <w:sz w:val="21"/>
                <w:szCs w:val="21"/>
              </w:rPr>
            </w:pPr>
            <w:r>
              <w:rPr>
                <w:rFonts w:ascii="Segoe UI" w:hAnsi="Segoe UI" w:eastAsia="宋体" w:cs="Segoe UI"/>
                <w:color w:val="404040"/>
                <w:sz w:val="21"/>
                <w:szCs w:val="21"/>
              </w:rPr>
              <w:t>标准数据接口，支持平滑扩展，升级停机≤2h</w:t>
            </w:r>
          </w:p>
        </w:tc>
      </w:tr>
    </w:tbl>
    <w:p>
      <w:pPr>
        <w:pStyle w:val="2"/>
      </w:pPr>
    </w:p>
    <w:p>
      <w:pPr>
        <w:pStyle w:val="3"/>
        <w:ind w:firstLine="482" w:firstLineChars="200"/>
        <w:rPr>
          <w:rFonts w:ascii="黑体" w:hAnsi="黑体" w:eastAsia="黑体"/>
          <w:sz w:val="24"/>
          <w:szCs w:val="24"/>
        </w:rPr>
      </w:pPr>
      <w:r>
        <w:rPr>
          <w:rFonts w:ascii="黑体" w:hAnsi="黑体" w:eastAsia="黑体"/>
          <w:sz w:val="24"/>
          <w:szCs w:val="24"/>
        </w:rPr>
        <w:t>五、设备保修及人员培训</w:t>
      </w:r>
    </w:p>
    <w:p>
      <w:pPr>
        <w:spacing w:before="80" w:after="80" w:line="360" w:lineRule="auto"/>
        <w:jc w:val="left"/>
        <w:rPr>
          <w:rFonts w:ascii="仿宋" w:hAnsi="仿宋" w:eastAsia="仿宋"/>
        </w:rPr>
      </w:pPr>
      <w:r>
        <w:rPr>
          <w:rFonts w:ascii="仿宋" w:hAnsi="仿宋" w:eastAsia="仿宋"/>
        </w:rPr>
        <w:t>1. 质保期：整套设备验收合格后运行一年。设备运行的一年内因产品发生质量问题，乙方执行三包（包修、包换、包退）。乙方向甲方提供主要设备的合格证；在质保期内因乙方设备质量问题不能运行，乙方应免费给予修理或更换元件；所有设备终身保修。</w:t>
      </w:r>
    </w:p>
    <w:p>
      <w:pPr>
        <w:spacing w:before="80" w:after="80" w:line="360" w:lineRule="auto"/>
        <w:jc w:val="left"/>
        <w:rPr>
          <w:rFonts w:ascii="仿宋" w:hAnsi="仿宋" w:eastAsia="仿宋"/>
        </w:rPr>
      </w:pPr>
      <w:r>
        <w:rPr>
          <w:rFonts w:ascii="仿宋" w:hAnsi="仿宋" w:eastAsia="仿宋"/>
        </w:rPr>
        <w:t>2. 乙方负责配合成套硬件部分的现场调试，负责现场的安装指导；本协议自签定生效之日起乙方提供全过程的技术服务；该系统安装运行后在质保期内厂方负责定期服务并要求系统发生故障乙方在4小时内给予解决。</w:t>
      </w:r>
    </w:p>
    <w:p>
      <w:pPr>
        <w:spacing w:before="80" w:after="80" w:line="360" w:lineRule="auto"/>
        <w:jc w:val="left"/>
        <w:rPr>
          <w:rFonts w:ascii="仿宋" w:hAnsi="仿宋" w:eastAsia="仿宋"/>
        </w:rPr>
      </w:pPr>
      <w:r>
        <w:rPr>
          <w:rFonts w:ascii="仿宋" w:hAnsi="仿宋" w:eastAsia="仿宋"/>
        </w:rPr>
        <w:t>3. 乙方保证长期提供备品备件以保证系统正常使用。</w:t>
      </w:r>
    </w:p>
    <w:p>
      <w:pPr>
        <w:spacing w:before="80" w:after="80" w:line="360" w:lineRule="auto"/>
        <w:jc w:val="left"/>
        <w:rPr>
          <w:rFonts w:ascii="仿宋" w:hAnsi="仿宋" w:eastAsia="仿宋"/>
        </w:rPr>
      </w:pPr>
      <w:r>
        <w:rPr>
          <w:rFonts w:ascii="仿宋" w:hAnsi="仿宋" w:eastAsia="仿宋"/>
        </w:rPr>
        <w:t>4. 乙方负责免费培训甲方操作和维修人员。乙方负责设备的安装指导，硬件调试。</w:t>
      </w:r>
    </w:p>
    <w:p>
      <w:pPr>
        <w:spacing w:before="80" w:after="80" w:line="360" w:lineRule="auto"/>
        <w:jc w:val="left"/>
        <w:rPr>
          <w:rFonts w:ascii="仿宋" w:hAnsi="仿宋" w:eastAsia="仿宋"/>
        </w:rPr>
      </w:pPr>
      <w:r>
        <w:rPr>
          <w:rFonts w:ascii="仿宋" w:hAnsi="仿宋" w:eastAsia="仿宋"/>
        </w:rPr>
        <w:t>5. 其它未尽事宜，双方友好协商解决。</w:t>
      </w:r>
    </w:p>
    <w:p>
      <w:pPr>
        <w:spacing w:before="80" w:after="80" w:line="360" w:lineRule="auto"/>
        <w:jc w:val="left"/>
        <w:rPr>
          <w:rFonts w:ascii="仿宋" w:hAnsi="仿宋" w:eastAsia="仿宋"/>
        </w:rPr>
      </w:pPr>
      <w:r>
        <w:rPr>
          <w:rFonts w:ascii="仿宋" w:hAnsi="仿宋" w:eastAsia="仿宋"/>
        </w:rPr>
        <w:t>6. 所有设备的制造所采用的标准件均应该按照国际、国家、部标准和厂标进行验收。</w:t>
      </w:r>
    </w:p>
    <w:p>
      <w:pPr>
        <w:spacing w:before="80" w:after="80" w:line="360" w:lineRule="auto"/>
        <w:jc w:val="left"/>
        <w:rPr>
          <w:rFonts w:ascii="仿宋" w:hAnsi="仿宋" w:eastAsia="仿宋"/>
        </w:rPr>
      </w:pPr>
      <w:r>
        <w:rPr>
          <w:rFonts w:ascii="仿宋" w:hAnsi="仿宋" w:eastAsia="仿宋"/>
        </w:rPr>
        <w:t>7. 制造厂应该向甲方提供有关试验报告和完整的产品质量保证书。</w:t>
      </w:r>
    </w:p>
    <w:p>
      <w:pPr>
        <w:spacing w:before="80" w:after="80" w:line="360" w:lineRule="auto"/>
        <w:jc w:val="left"/>
        <w:rPr>
          <w:rFonts w:ascii="仿宋" w:hAnsi="仿宋" w:eastAsia="仿宋"/>
        </w:rPr>
      </w:pPr>
      <w:r>
        <w:rPr>
          <w:rFonts w:ascii="仿宋" w:hAnsi="仿宋" w:eastAsia="仿宋"/>
        </w:rPr>
        <w:t>8. 设备发送到用户后，乙方派人到现场与甲方共同清点交接，如在运输中出现丢失或损坏，立即补发或修整，保证不影响工程进度。</w:t>
      </w:r>
    </w:p>
    <w:p>
      <w:pPr>
        <w:spacing w:before="80" w:after="80" w:line="360" w:lineRule="auto"/>
        <w:jc w:val="left"/>
        <w:rPr>
          <w:rFonts w:ascii="仿宋" w:hAnsi="仿宋" w:eastAsia="仿宋"/>
        </w:rPr>
      </w:pPr>
      <w:r>
        <w:rPr>
          <w:rFonts w:ascii="仿宋" w:hAnsi="仿宋" w:eastAsia="仿宋"/>
        </w:rPr>
        <w:t>9. 对设备安装或运行中出现的问题，乙方应该坚持：先解决问题恢复正常安装或生产，后分清责任的原则，解决用户的后顾之忧。</w:t>
      </w:r>
    </w:p>
    <w:p>
      <w:pPr>
        <w:pStyle w:val="3"/>
        <w:ind w:firstLine="482" w:firstLineChars="200"/>
        <w:rPr>
          <w:rFonts w:ascii="黑体" w:hAnsi="黑体" w:eastAsia="黑体"/>
          <w:sz w:val="24"/>
          <w:szCs w:val="24"/>
        </w:rPr>
      </w:pPr>
      <w:r>
        <w:rPr>
          <w:rFonts w:ascii="黑体" w:hAnsi="黑体" w:eastAsia="黑体"/>
          <w:sz w:val="24"/>
          <w:szCs w:val="24"/>
        </w:rPr>
        <w:t>六、工程进度</w:t>
      </w:r>
    </w:p>
    <w:p>
      <w:pPr>
        <w:spacing w:before="80" w:after="80" w:line="360" w:lineRule="auto"/>
        <w:ind w:firstLine="480" w:firstLineChars="200"/>
        <w:jc w:val="left"/>
        <w:rPr>
          <w:rFonts w:ascii="仿宋" w:hAnsi="仿宋" w:eastAsia="仿宋"/>
        </w:rPr>
      </w:pPr>
      <w:r>
        <w:rPr>
          <w:rFonts w:hint="eastAsia" w:ascii="仿宋" w:hAnsi="仿宋" w:eastAsia="仿宋"/>
          <w:lang w:eastAsia="zh-CN"/>
        </w:rPr>
        <w:t>卖方</w:t>
      </w:r>
      <w:r>
        <w:rPr>
          <w:rFonts w:ascii="仿宋" w:hAnsi="仿宋" w:eastAsia="仿宋"/>
        </w:rPr>
        <w:t>必须保证自合同生效之日起，</w:t>
      </w:r>
      <w:r>
        <w:rPr>
          <w:rFonts w:hint="eastAsia" w:ascii="仿宋" w:hAnsi="仿宋" w:eastAsia="仿宋"/>
          <w:lang w:val="en-US" w:eastAsia="zh-CN"/>
        </w:rPr>
        <w:t>20天</w:t>
      </w:r>
      <w:r>
        <w:rPr>
          <w:rFonts w:ascii="仿宋" w:hAnsi="仿宋" w:eastAsia="仿宋"/>
        </w:rPr>
        <w:t>内完成</w:t>
      </w:r>
      <w:r>
        <w:rPr>
          <w:rFonts w:hint="eastAsia" w:ascii="仿宋" w:hAnsi="仿宋" w:eastAsia="仿宋"/>
          <w:lang w:val="en-US" w:eastAsia="zh-CN"/>
        </w:rPr>
        <w:t>系统上线投入运行</w:t>
      </w:r>
      <w:r>
        <w:rPr>
          <w:rFonts w:ascii="仿宋" w:hAnsi="仿宋" w:eastAsia="仿宋"/>
        </w:rPr>
        <w:t>。</w:t>
      </w:r>
      <w:r>
        <w:rPr>
          <w:rFonts w:hint="eastAsia" w:ascii="仿宋" w:hAnsi="仿宋" w:eastAsia="仿宋"/>
          <w:lang w:eastAsia="zh-CN"/>
        </w:rPr>
        <w:t>卖方</w:t>
      </w:r>
      <w:r>
        <w:rPr>
          <w:rFonts w:ascii="仿宋" w:hAnsi="仿宋" w:eastAsia="仿宋"/>
        </w:rPr>
        <w:t>应标时应提供工程进度表。</w:t>
      </w:r>
    </w:p>
    <w:p>
      <w:pPr>
        <w:spacing w:before="80" w:after="80" w:line="360" w:lineRule="auto"/>
        <w:ind w:firstLine="480" w:firstLineChars="200"/>
        <w:jc w:val="left"/>
        <w:rPr>
          <w:rFonts w:ascii="仿宋" w:hAnsi="仿宋" w:eastAsia="仿宋"/>
        </w:rPr>
      </w:pPr>
      <w:r>
        <w:rPr>
          <w:rFonts w:ascii="仿宋" w:hAnsi="仿宋" w:eastAsia="仿宋"/>
        </w:rPr>
        <w:t>项目实施分为以下阶段：</w:t>
      </w:r>
    </w:p>
    <w:p>
      <w:pPr>
        <w:spacing w:before="80" w:after="80" w:line="360" w:lineRule="auto"/>
        <w:jc w:val="left"/>
        <w:rPr>
          <w:rFonts w:ascii="仿宋" w:hAnsi="仿宋" w:eastAsia="仿宋"/>
        </w:rPr>
      </w:pPr>
      <w:r>
        <w:rPr>
          <w:rFonts w:ascii="仿宋" w:hAnsi="仿宋" w:eastAsia="仿宋"/>
        </w:rPr>
        <w:t>（1）需求确认阶段：与</w:t>
      </w:r>
      <w:r>
        <w:rPr>
          <w:rFonts w:hint="eastAsia" w:ascii="仿宋" w:hAnsi="仿宋" w:eastAsia="仿宋"/>
          <w:lang w:val="en-US" w:eastAsia="zh-CN"/>
        </w:rPr>
        <w:t>冷轧</w:t>
      </w:r>
      <w:r>
        <w:rPr>
          <w:rFonts w:ascii="仿宋" w:hAnsi="仿宋" w:eastAsia="仿宋"/>
        </w:rPr>
        <w:t>涂镀厂、作业区、库管班组召开需求评审会，确认功能细节与流程，形成会议纪要。</w:t>
      </w:r>
    </w:p>
    <w:p>
      <w:pPr>
        <w:spacing w:before="80" w:after="80" w:line="360" w:lineRule="auto"/>
        <w:jc w:val="left"/>
        <w:rPr>
          <w:rFonts w:ascii="仿宋" w:hAnsi="仿宋" w:eastAsia="仿宋"/>
        </w:rPr>
      </w:pPr>
      <w:r>
        <w:rPr>
          <w:rFonts w:ascii="仿宋" w:hAnsi="仿宋" w:eastAsia="仿宋"/>
        </w:rPr>
        <w:t>（2）</w:t>
      </w:r>
      <w:r>
        <w:rPr>
          <w:rFonts w:hint="eastAsia" w:ascii="仿宋" w:hAnsi="仿宋" w:eastAsia="仿宋"/>
          <w:lang w:val="en-US" w:eastAsia="zh-CN"/>
        </w:rPr>
        <w:t>软件适配</w:t>
      </w:r>
      <w:r>
        <w:rPr>
          <w:rFonts w:ascii="仿宋" w:hAnsi="仿宋" w:eastAsia="仿宋"/>
        </w:rPr>
        <w:t>阶段：根据需求进行软件</w:t>
      </w:r>
      <w:r>
        <w:rPr>
          <w:rFonts w:hint="eastAsia" w:ascii="仿宋" w:hAnsi="仿宋" w:eastAsia="仿宋"/>
          <w:lang w:val="en-US" w:eastAsia="zh-CN"/>
        </w:rPr>
        <w:t>适配修改</w:t>
      </w:r>
      <w:r>
        <w:rPr>
          <w:rFonts w:ascii="仿宋" w:hAnsi="仿宋" w:eastAsia="仿宋"/>
        </w:rPr>
        <w:t>，完成单元测试与集成测试。</w:t>
      </w:r>
    </w:p>
    <w:p>
      <w:pPr>
        <w:spacing w:before="80" w:after="80" w:line="360" w:lineRule="auto"/>
        <w:jc w:val="left"/>
        <w:rPr>
          <w:rFonts w:ascii="仿宋" w:hAnsi="仿宋" w:eastAsia="仿宋"/>
        </w:rPr>
      </w:pPr>
      <w:r>
        <w:rPr>
          <w:rFonts w:ascii="仿宋" w:hAnsi="仿宋" w:eastAsia="仿宋"/>
        </w:rPr>
        <w:t>（3）现场部署阶段：按照</w:t>
      </w:r>
      <w:r>
        <w:rPr>
          <w:rFonts w:hint="eastAsia" w:ascii="仿宋" w:hAnsi="仿宋" w:eastAsia="仿宋"/>
          <w:lang w:val="en-US" w:eastAsia="zh-CN"/>
        </w:rPr>
        <w:t>计划要求</w:t>
      </w:r>
      <w:r>
        <w:rPr>
          <w:rFonts w:ascii="仿宋" w:hAnsi="仿宋" w:eastAsia="仿宋"/>
        </w:rPr>
        <w:t>完成硬件安装</w:t>
      </w:r>
      <w:r>
        <w:rPr>
          <w:rFonts w:hint="eastAsia" w:ascii="仿宋" w:hAnsi="仿宋" w:eastAsia="仿宋"/>
          <w:lang w:val="en-US" w:eastAsia="zh-CN"/>
        </w:rPr>
        <w:t>指导</w:t>
      </w:r>
      <w:r>
        <w:rPr>
          <w:rFonts w:ascii="仿宋" w:hAnsi="仿宋" w:eastAsia="仿宋"/>
        </w:rPr>
        <w:t>、</w:t>
      </w:r>
      <w:r>
        <w:rPr>
          <w:rFonts w:hint="eastAsia" w:ascii="仿宋" w:hAnsi="仿宋" w:eastAsia="仿宋"/>
          <w:lang w:val="en-US" w:eastAsia="zh-CN"/>
        </w:rPr>
        <w:t>计算机和</w:t>
      </w:r>
      <w:r>
        <w:rPr>
          <w:rFonts w:ascii="仿宋" w:hAnsi="仿宋" w:eastAsia="仿宋"/>
        </w:rPr>
        <w:t>软件部署。</w:t>
      </w:r>
    </w:p>
    <w:p>
      <w:pPr>
        <w:spacing w:before="80" w:after="80" w:line="360" w:lineRule="auto"/>
        <w:jc w:val="left"/>
        <w:rPr>
          <w:rFonts w:ascii="仿宋" w:hAnsi="仿宋" w:eastAsia="仿宋"/>
        </w:rPr>
      </w:pPr>
      <w:r>
        <w:rPr>
          <w:rFonts w:ascii="仿宋" w:hAnsi="仿宋" w:eastAsia="仿宋"/>
        </w:rPr>
        <w:t>（4）试运行阶段：系统上线试运行期间及时解决问题；收集用户反馈并进行优化。</w:t>
      </w:r>
    </w:p>
    <w:p>
      <w:pPr>
        <w:spacing w:before="80" w:after="80" w:line="360" w:lineRule="auto"/>
        <w:jc w:val="left"/>
        <w:rPr>
          <w:rFonts w:ascii="仿宋" w:hAnsi="仿宋" w:eastAsia="仿宋"/>
        </w:rPr>
      </w:pPr>
      <w:r>
        <w:rPr>
          <w:rFonts w:ascii="仿宋" w:hAnsi="仿宋" w:eastAsia="仿宋"/>
        </w:rPr>
        <w:t>（5）正式上线阶段：试运行通过后，系统正式投入使用，原系统停用。</w:t>
      </w:r>
    </w:p>
    <w:p>
      <w:pPr>
        <w:pStyle w:val="3"/>
        <w:ind w:firstLine="482" w:firstLineChars="200"/>
        <w:rPr>
          <w:rFonts w:ascii="黑体" w:hAnsi="黑体" w:eastAsia="黑体"/>
          <w:sz w:val="24"/>
          <w:szCs w:val="24"/>
        </w:rPr>
      </w:pPr>
      <w:r>
        <w:rPr>
          <w:rFonts w:ascii="黑体" w:hAnsi="黑体" w:eastAsia="黑体"/>
          <w:sz w:val="24"/>
          <w:szCs w:val="24"/>
        </w:rPr>
        <w:t>七、设计、审查、调试及验收</w:t>
      </w:r>
    </w:p>
    <w:p>
      <w:pPr>
        <w:pStyle w:val="3"/>
        <w:ind w:firstLine="482" w:firstLineChars="200"/>
        <w:rPr>
          <w:rFonts w:ascii="楷体" w:hAnsi="楷体" w:eastAsia="楷体"/>
          <w:sz w:val="24"/>
          <w:szCs w:val="24"/>
        </w:rPr>
      </w:pPr>
      <w:r>
        <w:rPr>
          <w:rFonts w:hint="eastAsia" w:ascii="楷体" w:hAnsi="楷体" w:eastAsia="楷体"/>
          <w:sz w:val="24"/>
          <w:szCs w:val="24"/>
        </w:rPr>
        <w:t>7</w:t>
      </w:r>
      <w:r>
        <w:rPr>
          <w:rFonts w:ascii="楷体" w:hAnsi="楷体" w:eastAsia="楷体"/>
          <w:sz w:val="24"/>
          <w:szCs w:val="24"/>
        </w:rPr>
        <w:t>.</w:t>
      </w:r>
      <w:r>
        <w:rPr>
          <w:rFonts w:hint="eastAsia" w:ascii="楷体" w:hAnsi="楷体" w:eastAsia="楷体"/>
          <w:sz w:val="24"/>
          <w:szCs w:val="24"/>
          <w:lang w:val="en-US" w:eastAsia="zh-CN"/>
        </w:rPr>
        <w:t>1</w:t>
      </w:r>
      <w:r>
        <w:rPr>
          <w:rFonts w:hint="eastAsia" w:ascii="楷体" w:hAnsi="楷体" w:eastAsia="楷体"/>
          <w:sz w:val="24"/>
          <w:szCs w:val="24"/>
        </w:rPr>
        <w:t>设计联络</w:t>
      </w:r>
    </w:p>
    <w:p>
      <w:pPr>
        <w:spacing w:before="80" w:after="80" w:line="360" w:lineRule="auto"/>
        <w:ind w:firstLine="480" w:firstLineChars="200"/>
        <w:jc w:val="left"/>
        <w:rPr>
          <w:rFonts w:ascii="仿宋" w:hAnsi="仿宋" w:eastAsia="仿宋"/>
        </w:rPr>
      </w:pPr>
      <w:r>
        <w:rPr>
          <w:rFonts w:ascii="仿宋" w:hAnsi="仿宋" w:eastAsia="仿宋"/>
        </w:rPr>
        <w:t>中标后，</w:t>
      </w:r>
      <w:r>
        <w:rPr>
          <w:rFonts w:hint="eastAsia" w:ascii="仿宋" w:hAnsi="仿宋" w:eastAsia="仿宋"/>
          <w:lang w:eastAsia="zh-CN"/>
        </w:rPr>
        <w:t>卖方</w:t>
      </w:r>
      <w:r>
        <w:rPr>
          <w:rFonts w:ascii="仿宋" w:hAnsi="仿宋" w:eastAsia="仿宋"/>
        </w:rPr>
        <w:t>负责组织召开设计联络会。会议由招标方及相关系统技术人员参加。设计联络会根据项目进度安排，分阶段召开，</w:t>
      </w:r>
      <w:r>
        <w:rPr>
          <w:rFonts w:hint="eastAsia" w:ascii="仿宋" w:hAnsi="仿宋" w:eastAsia="仿宋"/>
          <w:lang w:eastAsia="zh-CN"/>
        </w:rPr>
        <w:t>卖方</w:t>
      </w:r>
      <w:r>
        <w:rPr>
          <w:rFonts w:ascii="仿宋" w:hAnsi="仿宋" w:eastAsia="仿宋"/>
        </w:rPr>
        <w:t>应标时应提供设计联络会组织方案，并具体列明会议次数、联络会召开时间、内容等。</w:t>
      </w:r>
    </w:p>
    <w:p>
      <w:pPr>
        <w:spacing w:before="80" w:after="80" w:line="360" w:lineRule="auto"/>
        <w:ind w:firstLine="480" w:firstLineChars="200"/>
        <w:jc w:val="left"/>
        <w:rPr>
          <w:rFonts w:ascii="仿宋" w:hAnsi="仿宋" w:eastAsia="仿宋"/>
        </w:rPr>
      </w:pPr>
      <w:r>
        <w:rPr>
          <w:rFonts w:ascii="仿宋" w:hAnsi="仿宋" w:eastAsia="仿宋"/>
        </w:rPr>
        <w:t>设计联络会应包括但不限于以下内容：</w:t>
      </w:r>
    </w:p>
    <w:p>
      <w:pPr>
        <w:pStyle w:val="19"/>
        <w:numPr>
          <w:ilvl w:val="0"/>
          <w:numId w:val="1"/>
        </w:numPr>
        <w:spacing w:before="40" w:after="40" w:line="360" w:lineRule="auto"/>
        <w:rPr>
          <w:rFonts w:ascii="仿宋" w:hAnsi="仿宋" w:eastAsia="仿宋"/>
        </w:rPr>
      </w:pPr>
      <w:r>
        <w:rPr>
          <w:rFonts w:ascii="仿宋" w:hAnsi="仿宋" w:eastAsia="仿宋"/>
        </w:rPr>
        <w:t>讨论确定投标及技术协议设计方案的细化要求；</w:t>
      </w:r>
    </w:p>
    <w:p>
      <w:pPr>
        <w:pStyle w:val="19"/>
        <w:numPr>
          <w:ilvl w:val="0"/>
          <w:numId w:val="1"/>
        </w:numPr>
        <w:spacing w:before="40" w:after="40" w:line="360" w:lineRule="auto"/>
        <w:rPr>
          <w:rFonts w:ascii="仿宋" w:hAnsi="仿宋" w:eastAsia="仿宋"/>
        </w:rPr>
      </w:pPr>
      <w:r>
        <w:rPr>
          <w:rFonts w:ascii="仿宋" w:hAnsi="仿宋" w:eastAsia="仿宋"/>
        </w:rPr>
        <w:t>讨论确定工程进度安排；</w:t>
      </w:r>
    </w:p>
    <w:p>
      <w:pPr>
        <w:pStyle w:val="19"/>
        <w:numPr>
          <w:ilvl w:val="0"/>
          <w:numId w:val="1"/>
        </w:numPr>
        <w:spacing w:before="40" w:after="40" w:line="360" w:lineRule="auto"/>
        <w:rPr>
          <w:rFonts w:ascii="仿宋" w:hAnsi="仿宋" w:eastAsia="仿宋"/>
        </w:rPr>
      </w:pPr>
      <w:r>
        <w:rPr>
          <w:rFonts w:ascii="仿宋" w:hAnsi="仿宋" w:eastAsia="仿宋"/>
        </w:rPr>
        <w:t>讨论控制软件初步设计需求；</w:t>
      </w:r>
    </w:p>
    <w:p>
      <w:pPr>
        <w:pStyle w:val="19"/>
        <w:numPr>
          <w:ilvl w:val="0"/>
          <w:numId w:val="1"/>
        </w:numPr>
        <w:spacing w:before="40" w:after="40" w:line="360" w:lineRule="auto"/>
        <w:rPr>
          <w:rFonts w:ascii="仿宋" w:hAnsi="仿宋" w:eastAsia="仿宋"/>
        </w:rPr>
      </w:pPr>
      <w:r>
        <w:rPr>
          <w:rFonts w:ascii="仿宋" w:hAnsi="仿宋" w:eastAsia="仿宋"/>
        </w:rPr>
        <w:t>讨论确定与相关系统接口的实施方案；</w:t>
      </w:r>
    </w:p>
    <w:p>
      <w:pPr>
        <w:pStyle w:val="19"/>
        <w:numPr>
          <w:ilvl w:val="0"/>
          <w:numId w:val="1"/>
        </w:numPr>
        <w:spacing w:before="40" w:after="40" w:line="360" w:lineRule="auto"/>
        <w:rPr>
          <w:rFonts w:ascii="仿宋" w:hAnsi="仿宋" w:eastAsia="仿宋"/>
        </w:rPr>
      </w:pPr>
      <w:r>
        <w:rPr>
          <w:rFonts w:ascii="仿宋" w:hAnsi="仿宋" w:eastAsia="仿宋"/>
        </w:rPr>
        <w:t>讨论解决合同实施中具体相关技术问题及双方认为需要讨论的其他问题。</w:t>
      </w:r>
    </w:p>
    <w:p>
      <w:pPr>
        <w:spacing w:before="80" w:after="80" w:line="360" w:lineRule="auto"/>
        <w:ind w:firstLine="480" w:firstLineChars="200"/>
        <w:jc w:val="left"/>
        <w:rPr>
          <w:rFonts w:ascii="仿宋" w:hAnsi="仿宋" w:eastAsia="仿宋"/>
        </w:rPr>
      </w:pPr>
      <w:r>
        <w:rPr>
          <w:rFonts w:ascii="仿宋" w:hAnsi="仿宋" w:eastAsia="仿宋"/>
        </w:rPr>
        <w:t>根据会议情况，由</w:t>
      </w:r>
      <w:r>
        <w:rPr>
          <w:rFonts w:hint="eastAsia" w:ascii="仿宋" w:hAnsi="仿宋" w:eastAsia="仿宋"/>
          <w:lang w:eastAsia="zh-CN"/>
        </w:rPr>
        <w:t>卖方</w:t>
      </w:r>
      <w:r>
        <w:rPr>
          <w:rFonts w:ascii="仿宋" w:hAnsi="仿宋" w:eastAsia="仿宋"/>
        </w:rPr>
        <w:t>编制设计联络会备忘录，并签字确认。</w:t>
      </w:r>
    </w:p>
    <w:p>
      <w:pPr>
        <w:pStyle w:val="3"/>
        <w:ind w:firstLine="482" w:firstLineChars="200"/>
        <w:rPr>
          <w:rFonts w:ascii="楷体" w:hAnsi="楷体" w:eastAsia="楷体"/>
          <w:sz w:val="24"/>
          <w:szCs w:val="24"/>
        </w:rPr>
      </w:pPr>
      <w:r>
        <w:rPr>
          <w:rFonts w:hint="eastAsia" w:ascii="楷体" w:hAnsi="楷体" w:eastAsia="楷体"/>
          <w:sz w:val="24"/>
          <w:szCs w:val="24"/>
        </w:rPr>
        <w:t>7</w:t>
      </w:r>
      <w:r>
        <w:rPr>
          <w:rFonts w:ascii="楷体" w:hAnsi="楷体" w:eastAsia="楷体"/>
          <w:sz w:val="24"/>
          <w:szCs w:val="24"/>
        </w:rPr>
        <w:t>.</w:t>
      </w:r>
      <w:r>
        <w:rPr>
          <w:rFonts w:hint="eastAsia" w:ascii="楷体" w:hAnsi="楷体" w:eastAsia="楷体"/>
          <w:sz w:val="24"/>
          <w:szCs w:val="24"/>
          <w:lang w:val="en-US" w:eastAsia="zh-CN"/>
        </w:rPr>
        <w:t>2</w:t>
      </w:r>
      <w:r>
        <w:rPr>
          <w:rFonts w:hint="eastAsia" w:ascii="楷体" w:hAnsi="楷体" w:eastAsia="楷体"/>
          <w:sz w:val="24"/>
          <w:szCs w:val="24"/>
        </w:rPr>
        <w:t>设计审查</w:t>
      </w:r>
    </w:p>
    <w:p>
      <w:pPr>
        <w:spacing w:before="80" w:after="80" w:line="360" w:lineRule="auto"/>
        <w:ind w:firstLine="480" w:firstLineChars="200"/>
        <w:jc w:val="left"/>
        <w:rPr>
          <w:rFonts w:ascii="仿宋" w:hAnsi="仿宋" w:eastAsia="仿宋"/>
        </w:rPr>
      </w:pPr>
      <w:r>
        <w:rPr>
          <w:rFonts w:ascii="仿宋" w:hAnsi="仿宋" w:eastAsia="仿宋"/>
        </w:rPr>
        <w:t>1.</w:t>
      </w:r>
      <w:r>
        <w:rPr>
          <w:rFonts w:hint="eastAsia" w:ascii="仿宋" w:hAnsi="仿宋" w:eastAsia="仿宋"/>
          <w:lang w:eastAsia="zh-CN"/>
        </w:rPr>
        <w:t>卖方</w:t>
      </w:r>
      <w:r>
        <w:rPr>
          <w:rFonts w:ascii="仿宋" w:hAnsi="仿宋" w:eastAsia="仿宋"/>
        </w:rPr>
        <w:t>负责组织召开设计审查会，会议由招标方及相关系统技术人员参加。</w:t>
      </w:r>
      <w:r>
        <w:rPr>
          <w:rFonts w:hint="eastAsia" w:ascii="仿宋" w:hAnsi="仿宋" w:eastAsia="仿宋"/>
          <w:lang w:eastAsia="zh-CN"/>
        </w:rPr>
        <w:t>卖方</w:t>
      </w:r>
      <w:r>
        <w:rPr>
          <w:rFonts w:ascii="仿宋" w:hAnsi="仿宋" w:eastAsia="仿宋"/>
        </w:rPr>
        <w:t>应标时应提供设计审查会组织方案，并具体列明审查内容。</w:t>
      </w:r>
    </w:p>
    <w:p>
      <w:pPr>
        <w:spacing w:before="80" w:after="80" w:line="360" w:lineRule="auto"/>
        <w:ind w:firstLine="480" w:firstLineChars="200"/>
        <w:jc w:val="left"/>
        <w:rPr>
          <w:rFonts w:ascii="仿宋" w:hAnsi="仿宋" w:eastAsia="仿宋"/>
        </w:rPr>
      </w:pPr>
      <w:r>
        <w:rPr>
          <w:rFonts w:ascii="仿宋" w:hAnsi="仿宋" w:eastAsia="仿宋"/>
        </w:rPr>
        <w:t>2.设计审查应包括但不限于以下内容：系统详细设计方案、软件设计说明书、系统接口详细设计、验收的具体项目和验收标准、</w:t>
      </w:r>
      <w:r>
        <w:rPr>
          <w:rFonts w:hint="eastAsia" w:ascii="仿宋" w:hAnsi="仿宋" w:eastAsia="仿宋"/>
          <w:lang w:val="en-US" w:eastAsia="zh-CN"/>
        </w:rPr>
        <w:t>检</w:t>
      </w:r>
      <w:r>
        <w:rPr>
          <w:rFonts w:ascii="仿宋" w:hAnsi="仿宋" w:eastAsia="仿宋"/>
        </w:rPr>
        <w:t>造项目及工程实施中的质量控制方法。为保证设计方案完整性、最优化，招标方有权要求</w:t>
      </w:r>
      <w:r>
        <w:rPr>
          <w:rFonts w:hint="eastAsia" w:ascii="仿宋" w:hAnsi="仿宋" w:eastAsia="仿宋"/>
          <w:lang w:eastAsia="zh-CN"/>
        </w:rPr>
        <w:t>卖方</w:t>
      </w:r>
      <w:r>
        <w:rPr>
          <w:rFonts w:ascii="仿宋" w:hAnsi="仿宋" w:eastAsia="仿宋"/>
        </w:rPr>
        <w:t>调整设计方案。</w:t>
      </w:r>
    </w:p>
    <w:p>
      <w:pPr>
        <w:spacing w:before="80" w:after="80" w:line="360" w:lineRule="auto"/>
        <w:ind w:firstLine="480" w:firstLineChars="200"/>
        <w:jc w:val="left"/>
        <w:rPr>
          <w:rFonts w:ascii="仿宋" w:hAnsi="仿宋" w:eastAsia="仿宋"/>
        </w:rPr>
      </w:pPr>
      <w:r>
        <w:rPr>
          <w:rFonts w:ascii="仿宋" w:hAnsi="仿宋" w:eastAsia="仿宋"/>
        </w:rPr>
        <w:t>3.审查通过后，双方进行图纸及</w:t>
      </w:r>
      <w:r>
        <w:rPr>
          <w:rFonts w:hint="eastAsia" w:ascii="仿宋" w:hAnsi="仿宋" w:eastAsia="仿宋"/>
          <w:lang w:val="en-US" w:eastAsia="zh-CN"/>
        </w:rPr>
        <w:t>检</w:t>
      </w:r>
      <w:r>
        <w:rPr>
          <w:rFonts w:ascii="仿宋" w:hAnsi="仿宋" w:eastAsia="仿宋"/>
        </w:rPr>
        <w:t>造验收规范会签。审查不通过，</w:t>
      </w:r>
      <w:r>
        <w:rPr>
          <w:rFonts w:hint="eastAsia" w:ascii="仿宋" w:hAnsi="仿宋" w:eastAsia="仿宋"/>
          <w:lang w:eastAsia="zh-CN"/>
        </w:rPr>
        <w:t>卖方</w:t>
      </w:r>
      <w:r>
        <w:rPr>
          <w:rFonts w:ascii="仿宋" w:hAnsi="仿宋" w:eastAsia="仿宋"/>
        </w:rPr>
        <w:t>应尽快完成整改，并进行设计复查。</w:t>
      </w:r>
    </w:p>
    <w:p>
      <w:pPr>
        <w:spacing w:before="80" w:after="80" w:line="360" w:lineRule="auto"/>
        <w:ind w:firstLine="480" w:firstLineChars="200"/>
        <w:jc w:val="left"/>
        <w:rPr>
          <w:rFonts w:ascii="仿宋" w:hAnsi="仿宋" w:eastAsia="仿宋"/>
        </w:rPr>
      </w:pPr>
      <w:r>
        <w:rPr>
          <w:rFonts w:ascii="仿宋" w:hAnsi="仿宋" w:eastAsia="仿宋"/>
        </w:rPr>
        <w:t>4.招标方设计审查并不解除</w:t>
      </w:r>
      <w:r>
        <w:rPr>
          <w:rFonts w:hint="eastAsia" w:ascii="仿宋" w:hAnsi="仿宋" w:eastAsia="仿宋"/>
          <w:lang w:eastAsia="zh-CN"/>
        </w:rPr>
        <w:t>卖方</w:t>
      </w:r>
      <w:r>
        <w:rPr>
          <w:rFonts w:ascii="仿宋" w:hAnsi="仿宋" w:eastAsia="仿宋"/>
        </w:rPr>
        <w:t>对系统设计上应负的全部责任。</w:t>
      </w:r>
    </w:p>
    <w:p>
      <w:pPr>
        <w:spacing w:before="80" w:after="80" w:line="360" w:lineRule="auto"/>
        <w:ind w:firstLine="482" w:firstLineChars="200"/>
        <w:jc w:val="left"/>
        <w:rPr>
          <w:rFonts w:ascii="仿宋" w:hAnsi="仿宋" w:eastAsia="仿宋"/>
          <w:b/>
        </w:rPr>
      </w:pPr>
      <w:r>
        <w:rPr>
          <w:rFonts w:hint="eastAsia" w:ascii="仿宋" w:hAnsi="仿宋" w:eastAsia="仿宋"/>
          <w:b/>
          <w:lang w:val="en-US" w:eastAsia="zh-CN"/>
        </w:rPr>
        <w:t>7.3</w:t>
      </w:r>
      <w:r>
        <w:rPr>
          <w:rFonts w:hint="eastAsia" w:ascii="仿宋" w:hAnsi="仿宋" w:eastAsia="仿宋"/>
          <w:b/>
        </w:rPr>
        <w:t>设备调试</w:t>
      </w:r>
    </w:p>
    <w:p>
      <w:pPr>
        <w:spacing w:before="80" w:after="80" w:line="360" w:lineRule="auto"/>
        <w:ind w:firstLine="480" w:firstLineChars="200"/>
        <w:jc w:val="left"/>
        <w:rPr>
          <w:rFonts w:ascii="仿宋" w:hAnsi="仿宋" w:eastAsia="仿宋"/>
        </w:rPr>
      </w:pPr>
      <w:r>
        <w:rPr>
          <w:rFonts w:ascii="仿宋" w:hAnsi="仿宋" w:eastAsia="仿宋"/>
        </w:rPr>
        <w:t>设备调试应包括下列内容：</w:t>
      </w:r>
    </w:p>
    <w:p>
      <w:pPr>
        <w:pStyle w:val="19"/>
        <w:numPr>
          <w:ilvl w:val="0"/>
          <w:numId w:val="1"/>
        </w:numPr>
        <w:spacing w:before="40" w:after="40" w:line="360" w:lineRule="auto"/>
        <w:rPr>
          <w:rFonts w:ascii="仿宋" w:hAnsi="仿宋" w:eastAsia="仿宋"/>
        </w:rPr>
      </w:pPr>
      <w:r>
        <w:rPr>
          <w:rFonts w:ascii="仿宋" w:hAnsi="仿宋" w:eastAsia="仿宋"/>
        </w:rPr>
        <w:t>网络系统联调测试，覆盖所有功能点。</w:t>
      </w:r>
    </w:p>
    <w:p>
      <w:pPr>
        <w:pStyle w:val="19"/>
        <w:numPr>
          <w:ilvl w:val="0"/>
          <w:numId w:val="1"/>
        </w:numPr>
        <w:spacing w:before="40" w:after="40" w:line="360" w:lineRule="auto"/>
        <w:rPr>
          <w:rFonts w:ascii="仿宋" w:hAnsi="仿宋" w:eastAsia="仿宋"/>
        </w:rPr>
      </w:pPr>
      <w:r>
        <w:rPr>
          <w:rFonts w:ascii="仿宋" w:hAnsi="仿宋" w:eastAsia="仿宋"/>
        </w:rPr>
        <w:t>软件系统功能测试与集成测试</w:t>
      </w:r>
      <w:r>
        <w:rPr>
          <w:rFonts w:hint="eastAsia" w:ascii="仿宋" w:hAnsi="仿宋" w:eastAsia="仿宋"/>
          <w:lang w:val="en-US" w:eastAsia="zh-CN"/>
        </w:rPr>
        <w:t>及现场调试</w:t>
      </w:r>
      <w:r>
        <w:rPr>
          <w:rFonts w:ascii="仿宋" w:hAnsi="仿宋" w:eastAsia="仿宋"/>
        </w:rPr>
        <w:t>。</w:t>
      </w:r>
    </w:p>
    <w:p>
      <w:pPr>
        <w:spacing w:before="80" w:after="80" w:line="360" w:lineRule="auto"/>
        <w:ind w:firstLine="482" w:firstLineChars="200"/>
        <w:jc w:val="left"/>
        <w:rPr>
          <w:rFonts w:hint="eastAsia" w:ascii="仿宋" w:hAnsi="仿宋" w:eastAsia="仿宋"/>
          <w:b/>
          <w:lang w:val="en-US" w:eastAsia="zh-CN"/>
        </w:rPr>
      </w:pPr>
      <w:r>
        <w:rPr>
          <w:rFonts w:hint="eastAsia" w:ascii="仿宋" w:hAnsi="仿宋" w:eastAsia="仿宋"/>
          <w:b/>
          <w:lang w:val="en-US" w:eastAsia="zh-CN"/>
        </w:rPr>
        <w:t>7.4.现场验收</w:t>
      </w:r>
    </w:p>
    <w:p>
      <w:pPr>
        <w:spacing w:before="80" w:after="80" w:line="360" w:lineRule="auto"/>
        <w:ind w:firstLine="480" w:firstLineChars="200"/>
        <w:jc w:val="left"/>
        <w:rPr>
          <w:rFonts w:ascii="仿宋" w:hAnsi="仿宋" w:eastAsia="仿宋"/>
        </w:rPr>
      </w:pPr>
      <w:r>
        <w:rPr>
          <w:rFonts w:hint="eastAsia" w:ascii="仿宋" w:hAnsi="仿宋" w:eastAsia="仿宋"/>
        </w:rPr>
        <w:t>1</w:t>
      </w:r>
      <w:r>
        <w:rPr>
          <w:rFonts w:ascii="仿宋" w:hAnsi="仿宋" w:eastAsia="仿宋"/>
        </w:rPr>
        <w:t>.现场验收应具备以下条件：</w:t>
      </w:r>
    </w:p>
    <w:p>
      <w:pPr>
        <w:pStyle w:val="19"/>
        <w:numPr>
          <w:ilvl w:val="0"/>
          <w:numId w:val="1"/>
        </w:numPr>
        <w:spacing w:before="40" w:after="40" w:line="360" w:lineRule="auto"/>
        <w:rPr>
          <w:rFonts w:ascii="仿宋" w:hAnsi="仿宋" w:eastAsia="仿宋"/>
        </w:rPr>
      </w:pPr>
      <w:r>
        <w:rPr>
          <w:rFonts w:ascii="仿宋" w:hAnsi="仿宋" w:eastAsia="仿宋"/>
        </w:rPr>
        <w:t>库管系统硬件设备和软件系统已在现场完成安装、调试工作；</w:t>
      </w:r>
    </w:p>
    <w:p>
      <w:pPr>
        <w:pStyle w:val="19"/>
        <w:numPr>
          <w:ilvl w:val="0"/>
          <w:numId w:val="1"/>
        </w:numPr>
        <w:spacing w:before="40" w:after="40" w:line="360" w:lineRule="auto"/>
        <w:rPr>
          <w:rFonts w:ascii="仿宋" w:hAnsi="仿宋" w:eastAsia="仿宋"/>
        </w:rPr>
      </w:pPr>
      <w:r>
        <w:rPr>
          <w:rFonts w:ascii="仿宋" w:hAnsi="仿宋" w:eastAsia="仿宋"/>
        </w:rPr>
        <w:t>库管系统相关的设备（电源、接地等）已安装调试完毕。</w:t>
      </w:r>
    </w:p>
    <w:p>
      <w:pPr>
        <w:spacing w:before="80" w:after="80" w:line="360" w:lineRule="auto"/>
        <w:ind w:firstLine="480" w:firstLineChars="200"/>
        <w:jc w:val="left"/>
        <w:rPr>
          <w:rFonts w:ascii="仿宋" w:hAnsi="仿宋" w:eastAsia="仿宋"/>
        </w:rPr>
      </w:pPr>
      <w:r>
        <w:rPr>
          <w:rFonts w:hint="eastAsia" w:ascii="仿宋" w:hAnsi="仿宋" w:eastAsia="仿宋"/>
        </w:rPr>
        <w:t>2</w:t>
      </w:r>
      <w:r>
        <w:rPr>
          <w:rFonts w:ascii="仿宋" w:hAnsi="仿宋" w:eastAsia="仿宋"/>
        </w:rPr>
        <w:t>.招标方在收到</w:t>
      </w:r>
      <w:r>
        <w:rPr>
          <w:rFonts w:hint="eastAsia" w:ascii="仿宋" w:hAnsi="仿宋" w:eastAsia="仿宋"/>
          <w:lang w:eastAsia="zh-CN"/>
        </w:rPr>
        <w:t>卖方</w:t>
      </w:r>
      <w:r>
        <w:rPr>
          <w:rFonts w:ascii="仿宋" w:hAnsi="仿宋" w:eastAsia="仿宋"/>
        </w:rPr>
        <w:t>现场验收申请后，组建现场验收工作组。</w:t>
      </w:r>
    </w:p>
    <w:p>
      <w:pPr>
        <w:spacing w:before="80" w:after="80" w:line="360" w:lineRule="auto"/>
        <w:ind w:firstLine="480" w:firstLineChars="200"/>
        <w:jc w:val="left"/>
        <w:rPr>
          <w:rFonts w:ascii="仿宋" w:hAnsi="仿宋" w:eastAsia="仿宋"/>
        </w:rPr>
      </w:pPr>
      <w:r>
        <w:rPr>
          <w:rFonts w:hint="eastAsia" w:ascii="仿宋" w:hAnsi="仿宋" w:eastAsia="仿宋"/>
        </w:rPr>
        <w:t>3</w:t>
      </w:r>
      <w:r>
        <w:rPr>
          <w:rFonts w:ascii="仿宋" w:hAnsi="仿宋" w:eastAsia="仿宋"/>
        </w:rPr>
        <w:t>.验收前，</w:t>
      </w:r>
      <w:r>
        <w:rPr>
          <w:rFonts w:hint="eastAsia" w:ascii="仿宋" w:hAnsi="仿宋" w:eastAsia="仿宋"/>
          <w:lang w:eastAsia="zh-CN"/>
        </w:rPr>
        <w:t>卖方</w:t>
      </w:r>
      <w:r>
        <w:rPr>
          <w:rFonts w:ascii="仿宋" w:hAnsi="仿宋" w:eastAsia="仿宋"/>
        </w:rPr>
        <w:t>应把设备的安装情况向招标方技术人员交底，并进行预演习，以确保操作正确无误。</w:t>
      </w:r>
    </w:p>
    <w:p>
      <w:pPr>
        <w:spacing w:before="80" w:after="80" w:line="360" w:lineRule="auto"/>
        <w:ind w:firstLine="480" w:firstLineChars="200"/>
        <w:jc w:val="left"/>
        <w:rPr>
          <w:rFonts w:ascii="仿宋" w:hAnsi="仿宋" w:eastAsia="仿宋"/>
        </w:rPr>
      </w:pPr>
      <w:r>
        <w:rPr>
          <w:rFonts w:hint="eastAsia" w:ascii="仿宋" w:hAnsi="仿宋" w:eastAsia="仿宋"/>
        </w:rPr>
        <w:t>4</w:t>
      </w:r>
      <w:r>
        <w:rPr>
          <w:rFonts w:ascii="仿宋" w:hAnsi="仿宋" w:eastAsia="仿宋"/>
        </w:rPr>
        <w:t>.现场验收工作组在验收前应组织有关人员对设备及场地进行一次全面检查，重点项目如下：</w:t>
      </w:r>
    </w:p>
    <w:p>
      <w:pPr>
        <w:pStyle w:val="19"/>
        <w:numPr>
          <w:ilvl w:val="0"/>
          <w:numId w:val="1"/>
        </w:numPr>
        <w:spacing w:before="40" w:after="40" w:line="360" w:lineRule="auto"/>
        <w:rPr>
          <w:rFonts w:ascii="仿宋" w:hAnsi="仿宋" w:eastAsia="仿宋"/>
        </w:rPr>
      </w:pPr>
      <w:r>
        <w:rPr>
          <w:rFonts w:ascii="仿宋" w:hAnsi="仿宋" w:eastAsia="仿宋"/>
        </w:rPr>
        <w:t>设备接地良好；</w:t>
      </w:r>
    </w:p>
    <w:p>
      <w:pPr>
        <w:pStyle w:val="19"/>
        <w:numPr>
          <w:ilvl w:val="0"/>
          <w:numId w:val="1"/>
        </w:numPr>
        <w:spacing w:before="40" w:after="40" w:line="360" w:lineRule="auto"/>
        <w:rPr>
          <w:rFonts w:ascii="仿宋" w:hAnsi="仿宋" w:eastAsia="仿宋"/>
        </w:rPr>
      </w:pPr>
      <w:r>
        <w:rPr>
          <w:rFonts w:ascii="仿宋" w:hAnsi="仿宋" w:eastAsia="仿宋"/>
        </w:rPr>
        <w:t>设备用途标志清楚。</w:t>
      </w:r>
    </w:p>
    <w:p>
      <w:pPr>
        <w:spacing w:before="80" w:after="80" w:line="360" w:lineRule="auto"/>
        <w:ind w:firstLine="480" w:firstLineChars="200"/>
        <w:jc w:val="left"/>
        <w:rPr>
          <w:rFonts w:ascii="仿宋" w:hAnsi="仿宋" w:eastAsia="仿宋"/>
        </w:rPr>
      </w:pPr>
      <w:r>
        <w:rPr>
          <w:rFonts w:hint="eastAsia" w:ascii="仿宋" w:hAnsi="仿宋" w:eastAsia="仿宋"/>
        </w:rPr>
        <w:t>5</w:t>
      </w:r>
      <w:r>
        <w:rPr>
          <w:rFonts w:ascii="仿宋" w:hAnsi="仿宋" w:eastAsia="仿宋"/>
        </w:rPr>
        <w:t>.现场验收规则：</w:t>
      </w:r>
    </w:p>
    <w:p>
      <w:pPr>
        <w:spacing w:before="80" w:after="80" w:line="360" w:lineRule="auto"/>
        <w:ind w:firstLine="480" w:firstLineChars="200"/>
        <w:jc w:val="left"/>
        <w:rPr>
          <w:rFonts w:ascii="仿宋" w:hAnsi="仿宋" w:eastAsia="仿宋"/>
        </w:rPr>
      </w:pPr>
      <w:r>
        <w:rPr>
          <w:rFonts w:ascii="仿宋" w:hAnsi="仿宋" w:eastAsia="仿宋"/>
        </w:rPr>
        <w:t>现场验收达到以下要求时，可认为现场验收通过：</w:t>
      </w:r>
    </w:p>
    <w:p>
      <w:pPr>
        <w:pStyle w:val="19"/>
        <w:numPr>
          <w:ilvl w:val="0"/>
          <w:numId w:val="1"/>
        </w:numPr>
        <w:spacing w:before="40" w:after="40" w:line="360" w:lineRule="auto"/>
        <w:rPr>
          <w:rFonts w:ascii="仿宋" w:hAnsi="仿宋" w:eastAsia="仿宋"/>
        </w:rPr>
      </w:pPr>
      <w:r>
        <w:rPr>
          <w:rFonts w:ascii="仿宋" w:hAnsi="仿宋" w:eastAsia="仿宋"/>
        </w:rPr>
        <w:t>系统文件及资料完整、齐全；</w:t>
      </w:r>
    </w:p>
    <w:p>
      <w:pPr>
        <w:pStyle w:val="19"/>
        <w:numPr>
          <w:ilvl w:val="0"/>
          <w:numId w:val="1"/>
        </w:numPr>
        <w:spacing w:before="40" w:after="40" w:line="360" w:lineRule="auto"/>
        <w:rPr>
          <w:rFonts w:ascii="仿宋" w:hAnsi="仿宋" w:eastAsia="仿宋"/>
        </w:rPr>
      </w:pPr>
      <w:r>
        <w:rPr>
          <w:rFonts w:ascii="仿宋" w:hAnsi="仿宋" w:eastAsia="仿宋"/>
        </w:rPr>
        <w:t>所有软、硬件设备型号、数量、配置等与签订的合同一致；</w:t>
      </w:r>
    </w:p>
    <w:p>
      <w:pPr>
        <w:pStyle w:val="19"/>
        <w:numPr>
          <w:ilvl w:val="0"/>
          <w:numId w:val="1"/>
        </w:numPr>
        <w:spacing w:before="40" w:after="40" w:line="360" w:lineRule="auto"/>
        <w:rPr>
          <w:rFonts w:ascii="仿宋" w:hAnsi="仿宋" w:eastAsia="仿宋"/>
        </w:rPr>
      </w:pPr>
      <w:r>
        <w:rPr>
          <w:rFonts w:ascii="仿宋" w:hAnsi="仿宋" w:eastAsia="仿宋"/>
        </w:rPr>
        <w:t>现场验收测试各项结果基本满足本规范要求；无缺陷项目。</w:t>
      </w:r>
    </w:p>
    <w:p>
      <w:pPr>
        <w:spacing w:before="80" w:after="80" w:line="360" w:lineRule="auto"/>
        <w:ind w:firstLine="480" w:firstLineChars="200"/>
        <w:jc w:val="left"/>
        <w:rPr>
          <w:rFonts w:ascii="仿宋" w:hAnsi="仿宋" w:eastAsia="仿宋"/>
        </w:rPr>
      </w:pPr>
      <w:r>
        <w:rPr>
          <w:rFonts w:hint="eastAsia" w:ascii="仿宋" w:hAnsi="仿宋" w:eastAsia="仿宋"/>
        </w:rPr>
        <w:t>6</w:t>
      </w:r>
      <w:r>
        <w:rPr>
          <w:rFonts w:ascii="仿宋" w:hAnsi="仿宋" w:eastAsia="仿宋"/>
        </w:rPr>
        <w:t>.现场验收工作组按照验收大纲所列测试内容进行逐项测试、逐项记录。对于发现的问题，</w:t>
      </w:r>
      <w:r>
        <w:rPr>
          <w:rFonts w:hint="eastAsia" w:ascii="仿宋" w:hAnsi="仿宋" w:eastAsia="仿宋"/>
          <w:lang w:eastAsia="zh-CN"/>
        </w:rPr>
        <w:t>卖方</w:t>
      </w:r>
      <w:r>
        <w:rPr>
          <w:rFonts w:ascii="仿宋" w:hAnsi="仿宋" w:eastAsia="仿宋"/>
        </w:rPr>
        <w:t>尽快处理。在处理完成后，验收工作组重新验收，并确认无遗留问题后填写验收报告。</w:t>
      </w:r>
    </w:p>
    <w:p>
      <w:pPr>
        <w:spacing w:before="80" w:after="80" w:line="360" w:lineRule="auto"/>
        <w:ind w:firstLine="480" w:firstLineChars="200"/>
        <w:jc w:val="left"/>
        <w:rPr>
          <w:rFonts w:ascii="仿宋" w:hAnsi="仿宋" w:eastAsia="仿宋"/>
        </w:rPr>
      </w:pPr>
      <w:r>
        <w:rPr>
          <w:rFonts w:hint="eastAsia" w:ascii="仿宋" w:hAnsi="仿宋" w:eastAsia="仿宋"/>
        </w:rPr>
        <w:t>7</w:t>
      </w:r>
      <w:r>
        <w:rPr>
          <w:rFonts w:ascii="仿宋" w:hAnsi="仿宋" w:eastAsia="仿宋"/>
        </w:rPr>
        <w:t>.现场验收报告应包含以下内容：</w:t>
      </w:r>
    </w:p>
    <w:p>
      <w:pPr>
        <w:pStyle w:val="19"/>
        <w:numPr>
          <w:ilvl w:val="0"/>
          <w:numId w:val="1"/>
        </w:numPr>
        <w:spacing w:before="40" w:after="40" w:line="360" w:lineRule="auto"/>
        <w:rPr>
          <w:rFonts w:ascii="仿宋" w:hAnsi="仿宋" w:eastAsia="仿宋"/>
        </w:rPr>
      </w:pPr>
      <w:r>
        <w:rPr>
          <w:rFonts w:ascii="仿宋" w:hAnsi="仿宋" w:eastAsia="仿宋"/>
        </w:rPr>
        <w:t>现场验收缺陷和偏差记录。</w:t>
      </w:r>
    </w:p>
    <w:p>
      <w:pPr>
        <w:pStyle w:val="19"/>
        <w:numPr>
          <w:ilvl w:val="0"/>
          <w:numId w:val="1"/>
        </w:numPr>
        <w:spacing w:before="40" w:after="40" w:line="360" w:lineRule="auto"/>
        <w:rPr>
          <w:rFonts w:ascii="仿宋" w:hAnsi="仿宋" w:eastAsia="仿宋"/>
        </w:rPr>
      </w:pPr>
      <w:r>
        <w:rPr>
          <w:rFonts w:ascii="仿宋" w:hAnsi="仿宋" w:eastAsia="仿宋"/>
        </w:rPr>
        <w:t>现场验收测试统计及分析报告。</w:t>
      </w:r>
    </w:p>
    <w:p>
      <w:pPr>
        <w:pStyle w:val="19"/>
        <w:numPr>
          <w:ilvl w:val="0"/>
          <w:numId w:val="1"/>
        </w:numPr>
        <w:spacing w:before="40" w:after="40" w:line="360" w:lineRule="auto"/>
        <w:rPr>
          <w:rFonts w:ascii="仿宋" w:hAnsi="仿宋" w:eastAsia="仿宋"/>
        </w:rPr>
      </w:pPr>
      <w:r>
        <w:rPr>
          <w:rFonts w:ascii="仿宋" w:hAnsi="仿宋" w:eastAsia="仿宋"/>
        </w:rPr>
        <w:t>现场验收结论。</w:t>
      </w:r>
    </w:p>
    <w:p>
      <w:pPr>
        <w:spacing w:before="80" w:after="80" w:line="360" w:lineRule="auto"/>
        <w:ind w:firstLine="480" w:firstLineChars="200"/>
        <w:jc w:val="left"/>
        <w:rPr>
          <w:rFonts w:ascii="仿宋" w:hAnsi="仿宋" w:eastAsia="仿宋"/>
        </w:rPr>
      </w:pPr>
      <w:r>
        <w:rPr>
          <w:rFonts w:hint="eastAsia" w:ascii="仿宋" w:hAnsi="仿宋" w:eastAsia="仿宋"/>
        </w:rPr>
        <w:t>8</w:t>
      </w:r>
      <w:r>
        <w:rPr>
          <w:rFonts w:ascii="仿宋" w:hAnsi="仿宋" w:eastAsia="仿宋"/>
        </w:rPr>
        <w:t>.验收标准：</w:t>
      </w:r>
    </w:p>
    <w:p>
      <w:pPr>
        <w:pStyle w:val="19"/>
        <w:numPr>
          <w:ilvl w:val="0"/>
          <w:numId w:val="1"/>
        </w:numPr>
        <w:spacing w:before="40" w:after="40" w:line="360" w:lineRule="auto"/>
        <w:rPr>
          <w:rFonts w:ascii="仿宋" w:hAnsi="仿宋" w:eastAsia="仿宋"/>
        </w:rPr>
      </w:pPr>
      <w:r>
        <w:rPr>
          <w:rFonts w:ascii="仿宋" w:hAnsi="仿宋" w:eastAsia="仿宋"/>
        </w:rPr>
        <w:t>入库作业效率提升60%以上，人工操作失误率降低90%以上；</w:t>
      </w:r>
    </w:p>
    <w:p>
      <w:pPr>
        <w:pStyle w:val="19"/>
        <w:numPr>
          <w:ilvl w:val="0"/>
          <w:numId w:val="1"/>
        </w:numPr>
        <w:spacing w:before="40" w:after="40" w:line="360" w:lineRule="auto"/>
        <w:rPr>
          <w:rFonts w:ascii="仿宋" w:hAnsi="仿宋" w:eastAsia="仿宋"/>
        </w:rPr>
      </w:pPr>
      <w:r>
        <w:rPr>
          <w:rFonts w:ascii="仿宋" w:hAnsi="仿宋" w:eastAsia="仿宋"/>
        </w:rPr>
        <w:t>实现锌锭全生命周期唯一追溯，库存数据实时动态更新，账实相符率达100%；</w:t>
      </w:r>
    </w:p>
    <w:p>
      <w:pPr>
        <w:pStyle w:val="19"/>
        <w:numPr>
          <w:ilvl w:val="0"/>
          <w:numId w:val="1"/>
        </w:numPr>
        <w:spacing w:before="40" w:after="40" w:line="360" w:lineRule="auto"/>
        <w:rPr>
          <w:rFonts w:ascii="仿宋" w:hAnsi="仿宋" w:eastAsia="仿宋"/>
        </w:rPr>
      </w:pPr>
      <w:r>
        <w:rPr>
          <w:rFonts w:ascii="仿宋" w:hAnsi="仿宋" w:eastAsia="仿宋"/>
        </w:rPr>
        <w:t>系统运转率：99.9%（在负载状态下）；计算机系统负荷率：平均负荷率小于等于40%（连续72小时的平均负荷率，必须在正常生产中测试）。系统数据存储空间平均负荷率小于等于50%；</w:t>
      </w:r>
    </w:p>
    <w:p>
      <w:pPr>
        <w:pStyle w:val="19"/>
        <w:numPr>
          <w:ilvl w:val="0"/>
          <w:numId w:val="1"/>
        </w:numPr>
        <w:spacing w:before="40" w:after="40" w:line="360" w:lineRule="auto"/>
        <w:rPr>
          <w:rFonts w:ascii="仿宋" w:hAnsi="仿宋" w:eastAsia="仿宋"/>
        </w:rPr>
      </w:pPr>
      <w:r>
        <w:rPr>
          <w:rFonts w:ascii="仿宋" w:hAnsi="仿宋" w:eastAsia="仿宋"/>
        </w:rPr>
        <w:t>系统安全：系统必须对用户身份和用户权限进行完全有效的管理，任何业务操作都应有严格的权限限制，同时对于用户操作进行跟踪和记录；从系统程序逻辑保证数据安全性，不会因为用户的误操作导致系统数据丢失；完善的数据备份和恢复机制；</w:t>
      </w:r>
    </w:p>
    <w:p>
      <w:pPr>
        <w:pStyle w:val="19"/>
        <w:numPr>
          <w:ilvl w:val="0"/>
          <w:numId w:val="1"/>
        </w:numPr>
        <w:spacing w:before="40" w:after="40" w:line="360" w:lineRule="auto"/>
        <w:rPr>
          <w:rFonts w:ascii="仿宋" w:hAnsi="仿宋" w:eastAsia="仿宋"/>
        </w:rPr>
      </w:pPr>
      <w:r>
        <w:rPr>
          <w:rFonts w:ascii="仿宋" w:hAnsi="仿宋" w:eastAsia="仿宋"/>
        </w:rPr>
        <w:t>系统可靠性：系统运行稳定，不频繁发生死机、异常退出等情况；在特定的业务环节，系统体系结构和业务逻辑能够支持在网络环境失败的情况仍能够在人工支持下继续运行；任何单一系统失败不会影响其他系统正常运行；</w:t>
      </w:r>
    </w:p>
    <w:p>
      <w:pPr>
        <w:pStyle w:val="19"/>
        <w:numPr>
          <w:ilvl w:val="0"/>
          <w:numId w:val="1"/>
        </w:numPr>
        <w:spacing w:before="40" w:after="40" w:line="360" w:lineRule="auto"/>
        <w:rPr>
          <w:rFonts w:ascii="仿宋" w:hAnsi="仿宋" w:eastAsia="仿宋"/>
        </w:rPr>
      </w:pPr>
      <w:r>
        <w:rPr>
          <w:rFonts w:ascii="仿宋" w:hAnsi="仿宋" w:eastAsia="仿宋"/>
        </w:rPr>
        <w:t>系统可操作性：软件界面设计风格要求简洁统一、布局合理、用户操作方便；系统一般性操作其响应速度应在1秒钟以内，系统综合性查询操作的操作响应速度应在3秒以内，特殊情况需说明，达到业务人员能够接受的程度。</w:t>
      </w:r>
    </w:p>
    <w:p>
      <w:pPr>
        <w:pStyle w:val="3"/>
        <w:ind w:firstLine="482" w:firstLineChars="200"/>
        <w:rPr>
          <w:rFonts w:ascii="楷体" w:hAnsi="楷体" w:eastAsia="楷体"/>
          <w:sz w:val="24"/>
          <w:szCs w:val="24"/>
        </w:rPr>
      </w:pPr>
      <w:r>
        <w:rPr>
          <w:rFonts w:hint="eastAsia" w:ascii="楷体" w:hAnsi="楷体" w:eastAsia="楷体"/>
          <w:sz w:val="24"/>
          <w:szCs w:val="24"/>
        </w:rPr>
        <w:t>7</w:t>
      </w:r>
      <w:r>
        <w:rPr>
          <w:rFonts w:ascii="楷体" w:hAnsi="楷体" w:eastAsia="楷体"/>
          <w:sz w:val="24"/>
          <w:szCs w:val="24"/>
        </w:rPr>
        <w:t>.</w:t>
      </w:r>
      <w:r>
        <w:rPr>
          <w:rFonts w:hint="eastAsia" w:ascii="楷体" w:hAnsi="楷体" w:eastAsia="楷体"/>
          <w:sz w:val="24"/>
          <w:szCs w:val="24"/>
          <w:lang w:val="en-US" w:eastAsia="zh-CN"/>
        </w:rPr>
        <w:t>5</w:t>
      </w:r>
      <w:r>
        <w:rPr>
          <w:rFonts w:hint="eastAsia" w:ascii="楷体" w:hAnsi="楷体" w:eastAsia="楷体"/>
          <w:sz w:val="24"/>
          <w:szCs w:val="24"/>
        </w:rPr>
        <w:t>竣工验收</w:t>
      </w:r>
    </w:p>
    <w:p>
      <w:pPr>
        <w:spacing w:before="80" w:after="80" w:line="360" w:lineRule="auto"/>
        <w:ind w:firstLine="480" w:firstLineChars="200"/>
        <w:jc w:val="left"/>
        <w:rPr>
          <w:rFonts w:ascii="仿宋" w:hAnsi="仿宋" w:eastAsia="仿宋"/>
        </w:rPr>
      </w:pPr>
      <w:r>
        <w:rPr>
          <w:rFonts w:ascii="仿宋" w:hAnsi="仿宋" w:eastAsia="仿宋"/>
        </w:rPr>
        <w:t>1.竣工验收应具备的条件：</w:t>
      </w:r>
    </w:p>
    <w:p>
      <w:pPr>
        <w:pStyle w:val="19"/>
        <w:numPr>
          <w:ilvl w:val="0"/>
          <w:numId w:val="1"/>
        </w:numPr>
        <w:spacing w:before="40" w:after="40" w:line="360" w:lineRule="auto"/>
        <w:rPr>
          <w:rFonts w:ascii="仿宋" w:hAnsi="仿宋" w:eastAsia="仿宋"/>
        </w:rPr>
      </w:pPr>
      <w:r>
        <w:rPr>
          <w:rFonts w:ascii="仿宋" w:hAnsi="仿宋" w:eastAsia="仿宋"/>
        </w:rPr>
        <w:t>库管系统现场验收合格。</w:t>
      </w:r>
    </w:p>
    <w:p>
      <w:pPr>
        <w:pStyle w:val="19"/>
        <w:numPr>
          <w:ilvl w:val="0"/>
          <w:numId w:val="1"/>
        </w:numPr>
        <w:spacing w:before="40" w:after="40" w:line="360" w:lineRule="auto"/>
        <w:rPr>
          <w:rFonts w:ascii="仿宋" w:hAnsi="仿宋" w:eastAsia="仿宋"/>
        </w:rPr>
      </w:pPr>
      <w:r>
        <w:rPr>
          <w:rFonts w:ascii="仿宋" w:hAnsi="仿宋" w:eastAsia="仿宋"/>
        </w:rPr>
        <w:t>库管系统现场验收后在为期一个月的试运行内，符合规定要求，并提交试运行报告。</w:t>
      </w:r>
    </w:p>
    <w:p>
      <w:pPr>
        <w:spacing w:before="80" w:after="80" w:line="360" w:lineRule="auto"/>
        <w:ind w:firstLine="480" w:firstLineChars="200"/>
        <w:jc w:val="left"/>
        <w:rPr>
          <w:rFonts w:ascii="仿宋" w:hAnsi="仿宋" w:eastAsia="仿宋"/>
        </w:rPr>
      </w:pPr>
      <w:r>
        <w:rPr>
          <w:rFonts w:ascii="仿宋" w:hAnsi="仿宋" w:eastAsia="仿宋"/>
        </w:rPr>
        <w:t>2.招标方在收到</w:t>
      </w:r>
      <w:r>
        <w:rPr>
          <w:rFonts w:hint="eastAsia" w:ascii="仿宋" w:hAnsi="仿宋" w:eastAsia="仿宋"/>
          <w:lang w:eastAsia="zh-CN"/>
        </w:rPr>
        <w:t>卖方</w:t>
      </w:r>
      <w:r>
        <w:rPr>
          <w:rFonts w:ascii="仿宋" w:hAnsi="仿宋" w:eastAsia="仿宋"/>
        </w:rPr>
        <w:t>竣工验收申请报告后，组建竣工验收工作组。</w:t>
      </w:r>
    </w:p>
    <w:p>
      <w:pPr>
        <w:spacing w:before="80" w:after="80" w:line="360" w:lineRule="auto"/>
        <w:ind w:firstLine="480" w:firstLineChars="200"/>
        <w:jc w:val="left"/>
        <w:rPr>
          <w:rFonts w:ascii="仿宋" w:hAnsi="仿宋" w:eastAsia="仿宋"/>
        </w:rPr>
      </w:pPr>
      <w:r>
        <w:rPr>
          <w:rFonts w:ascii="仿宋" w:hAnsi="仿宋" w:eastAsia="仿宋"/>
        </w:rPr>
        <w:t>3.竣工验收规则：</w:t>
      </w:r>
    </w:p>
    <w:p>
      <w:pPr>
        <w:pStyle w:val="19"/>
        <w:numPr>
          <w:ilvl w:val="0"/>
          <w:numId w:val="1"/>
        </w:numPr>
        <w:spacing w:before="40" w:after="40" w:line="360" w:lineRule="auto"/>
        <w:rPr>
          <w:rFonts w:ascii="仿宋" w:hAnsi="仿宋" w:eastAsia="仿宋"/>
        </w:rPr>
      </w:pPr>
      <w:r>
        <w:rPr>
          <w:rFonts w:ascii="仿宋" w:hAnsi="仿宋" w:eastAsia="仿宋"/>
        </w:rPr>
        <w:t>库管系统在一个月的试运行期间运行稳定可靠，无停产等稳定性问题，库管系统稳定性符合规定要求。</w:t>
      </w:r>
    </w:p>
    <w:p>
      <w:pPr>
        <w:pStyle w:val="19"/>
        <w:numPr>
          <w:ilvl w:val="0"/>
          <w:numId w:val="1"/>
        </w:numPr>
        <w:spacing w:before="40" w:after="40" w:line="360" w:lineRule="auto"/>
        <w:rPr>
          <w:rFonts w:ascii="仿宋" w:hAnsi="仿宋" w:eastAsia="仿宋"/>
        </w:rPr>
      </w:pPr>
      <w:r>
        <w:rPr>
          <w:rFonts w:ascii="仿宋" w:hAnsi="仿宋" w:eastAsia="仿宋"/>
        </w:rPr>
        <w:t>竣工验收内容包括验收大纲所列的性能测试内容、现场验收遗留问题、运行中发现的问题等内容。</w:t>
      </w:r>
    </w:p>
    <w:p>
      <w:pPr>
        <w:pStyle w:val="19"/>
        <w:numPr>
          <w:ilvl w:val="0"/>
          <w:numId w:val="1"/>
        </w:numPr>
        <w:spacing w:before="40" w:after="40" w:line="360" w:lineRule="auto"/>
        <w:rPr>
          <w:rFonts w:ascii="仿宋" w:hAnsi="仿宋" w:eastAsia="仿宋"/>
        </w:rPr>
      </w:pPr>
      <w:r>
        <w:rPr>
          <w:rFonts w:ascii="仿宋" w:hAnsi="仿宋" w:eastAsia="仿宋"/>
        </w:rPr>
        <w:t>在竣工验收测试中，测试结果无缺陷。</w:t>
      </w:r>
    </w:p>
    <w:p>
      <w:pPr>
        <w:spacing w:before="80" w:after="80" w:line="360" w:lineRule="auto"/>
        <w:ind w:firstLine="480" w:firstLineChars="200"/>
        <w:jc w:val="left"/>
        <w:rPr>
          <w:rFonts w:ascii="仿宋" w:hAnsi="仿宋" w:eastAsia="仿宋"/>
        </w:rPr>
      </w:pPr>
      <w:r>
        <w:rPr>
          <w:rFonts w:ascii="仿宋" w:hAnsi="仿宋" w:eastAsia="仿宋"/>
        </w:rPr>
        <w:t>4.如有某些测试项目存在缺陷或偏差，验收组应做好缺陷或偏差记录报告，并明确解决措施；解决后应重新测试。</w:t>
      </w:r>
    </w:p>
    <w:p>
      <w:pPr>
        <w:spacing w:before="80" w:after="80" w:line="360" w:lineRule="auto"/>
        <w:ind w:firstLine="480" w:firstLineChars="200"/>
        <w:jc w:val="left"/>
        <w:rPr>
          <w:rFonts w:ascii="仿宋" w:hAnsi="仿宋" w:eastAsia="仿宋"/>
        </w:rPr>
      </w:pPr>
      <w:r>
        <w:rPr>
          <w:rFonts w:ascii="仿宋" w:hAnsi="仿宋" w:eastAsia="仿宋"/>
        </w:rPr>
        <w:t>5.竣工验收完成后，由验收组编写系统竣工验收报告。</w:t>
      </w:r>
    </w:p>
    <w:p>
      <w:pPr>
        <w:pStyle w:val="3"/>
        <w:ind w:firstLine="482" w:firstLineChars="200"/>
        <w:rPr>
          <w:rFonts w:ascii="黑体" w:hAnsi="黑体" w:eastAsia="黑体"/>
          <w:sz w:val="24"/>
          <w:szCs w:val="24"/>
        </w:rPr>
      </w:pPr>
      <w:r>
        <w:rPr>
          <w:rFonts w:ascii="黑体" w:hAnsi="黑体" w:eastAsia="黑体"/>
          <w:sz w:val="24"/>
          <w:szCs w:val="24"/>
        </w:rPr>
        <w:t>八、运行维护</w:t>
      </w:r>
    </w:p>
    <w:p>
      <w:pPr>
        <w:spacing w:before="80" w:after="80" w:line="360" w:lineRule="auto"/>
        <w:ind w:firstLine="480" w:firstLineChars="200"/>
        <w:jc w:val="left"/>
        <w:rPr>
          <w:rFonts w:ascii="仿宋" w:hAnsi="仿宋" w:eastAsia="仿宋"/>
        </w:rPr>
      </w:pPr>
      <w:r>
        <w:rPr>
          <w:rFonts w:hint="eastAsia" w:ascii="仿宋" w:hAnsi="仿宋" w:eastAsia="仿宋"/>
          <w:lang w:eastAsia="zh-CN"/>
        </w:rPr>
        <w:t>卖方</w:t>
      </w:r>
      <w:r>
        <w:rPr>
          <w:rFonts w:ascii="仿宋" w:hAnsi="仿宋" w:eastAsia="仿宋"/>
        </w:rPr>
        <w:t>制定智能锌锭库管系统的标准化作业指导书和运行维护手册。系统应进行日常维护和定期维护，定期维护周期一般为3个月。日常维护由招标方设定专人，制订日常维护保养工作要求。</w:t>
      </w:r>
    </w:p>
    <w:p>
      <w:pPr>
        <w:spacing w:before="80" w:after="80" w:line="360" w:lineRule="auto"/>
        <w:ind w:firstLine="482" w:firstLineChars="200"/>
        <w:jc w:val="left"/>
        <w:rPr>
          <w:rFonts w:ascii="楷体" w:hAnsi="楷体" w:eastAsia="楷体"/>
          <w:b/>
        </w:rPr>
      </w:pPr>
      <w:r>
        <w:rPr>
          <w:rFonts w:hint="eastAsia" w:ascii="楷体" w:hAnsi="楷体" w:eastAsia="楷体"/>
          <w:b/>
        </w:rPr>
        <w:t>1</w:t>
      </w:r>
      <w:r>
        <w:rPr>
          <w:rFonts w:ascii="楷体" w:hAnsi="楷体" w:eastAsia="楷体"/>
          <w:b/>
        </w:rPr>
        <w:t>.</w:t>
      </w:r>
      <w:r>
        <w:rPr>
          <w:rFonts w:hint="eastAsia" w:ascii="楷体" w:hAnsi="楷体" w:eastAsia="楷体"/>
          <w:b/>
        </w:rPr>
        <w:t>日常维护</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应设专人值班，对设备工作状态、系统运行情况等进行</w:t>
      </w:r>
      <w:r>
        <w:rPr>
          <w:rFonts w:hint="eastAsia" w:ascii="仿宋" w:hAnsi="仿宋" w:eastAsia="仿宋"/>
          <w:lang w:val="en-US" w:eastAsia="zh-CN"/>
        </w:rPr>
        <w:t>检测</w:t>
      </w:r>
      <w:r>
        <w:rPr>
          <w:rFonts w:ascii="仿宋" w:hAnsi="仿宋" w:eastAsia="仿宋"/>
        </w:rPr>
        <w:t>和分析，发现故障及时隔离和排除，更换存在问题的设备或部件，以保证智能化库管系统的日常正常工作。</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对设备和系统整体的运行情况、故障处理情况等，应建立运行维护记录，每月向用户提供对设备所进行的维修细节、维护和更换备件的报告。</w:t>
      </w:r>
    </w:p>
    <w:p>
      <w:pPr>
        <w:spacing w:before="80" w:after="80" w:line="360" w:lineRule="auto"/>
        <w:ind w:firstLine="482" w:firstLineChars="200"/>
        <w:jc w:val="left"/>
        <w:rPr>
          <w:rFonts w:ascii="仿宋" w:hAnsi="仿宋" w:eastAsia="仿宋"/>
        </w:rPr>
      </w:pPr>
      <w:r>
        <w:rPr>
          <w:rFonts w:hint="eastAsia" w:ascii="楷体" w:hAnsi="楷体" w:eastAsia="楷体"/>
          <w:b/>
        </w:rPr>
        <w:t>2</w:t>
      </w:r>
      <w:r>
        <w:rPr>
          <w:rFonts w:ascii="楷体" w:hAnsi="楷体" w:eastAsia="楷体"/>
          <w:b/>
        </w:rPr>
        <w:t>.</w:t>
      </w:r>
      <w:r>
        <w:rPr>
          <w:rFonts w:hint="eastAsia" w:ascii="楷体" w:hAnsi="楷体" w:eastAsia="楷体"/>
          <w:b/>
        </w:rPr>
        <w:t>周期维护</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可按月、季度、半年度和年度为间隔，按照各种不同维护内容的要求，设置不同的设备维护周期。</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对于运行过程中易产生松动的电气触点或机械配合部位的紧固、运动频次相对高的部位的检查，可设置每月一次维护，其余可设置每季度或更长时间维护一次。</w:t>
      </w:r>
    </w:p>
    <w:p>
      <w:pPr>
        <w:spacing w:before="80" w:after="80" w:line="360" w:lineRule="auto"/>
        <w:ind w:firstLine="482" w:firstLineChars="200"/>
        <w:jc w:val="left"/>
        <w:rPr>
          <w:rFonts w:ascii="楷体" w:hAnsi="楷体" w:eastAsia="楷体"/>
          <w:b/>
        </w:rPr>
      </w:pPr>
      <w:r>
        <w:rPr>
          <w:rFonts w:hint="eastAsia" w:ascii="楷体" w:hAnsi="楷体" w:eastAsia="楷体"/>
          <w:b/>
        </w:rPr>
        <w:t>3</w:t>
      </w:r>
      <w:r>
        <w:rPr>
          <w:rFonts w:ascii="楷体" w:hAnsi="楷体" w:eastAsia="楷体"/>
          <w:b/>
        </w:rPr>
        <w:t>.</w:t>
      </w:r>
      <w:r>
        <w:rPr>
          <w:rFonts w:hint="eastAsia" w:ascii="楷体" w:hAnsi="楷体" w:eastAsia="楷体"/>
          <w:b/>
        </w:rPr>
        <w:t>维护内容</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周期维护应以预防性维护为主，其维护对象根据系统实际组成确定维护对象，维护内容为对系统设备进行全面检查和测试，应至少包括对各系统设备进行检查、清洁、调整、紧固、润滑等工作内容，发现和排除故障隐患，更换存在问题的设备或部件。</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应编制设备周期维护计划，并制定安全措施和技术措施，确保设备在安全、可靠、经济、整洁的状态下运行。</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建立设备档案，做好设备运行、维修、保养记录，不断总结设备管理经验，降低配件材料消耗，充分发挥设备的效能。</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维护内容应至少包含以下内容：设备清洁（应至少包含设备外表面、传感器等光感元件、充电线路及接触部分等）；易损件检查；紧固（接线端子等易产生松动的电气触点或固定螺丝和机械配合部位的紧固）。</w:t>
      </w:r>
    </w:p>
    <w:p>
      <w:pPr>
        <w:spacing w:before="80" w:after="80" w:line="360" w:lineRule="auto"/>
        <w:ind w:firstLine="480" w:firstLineChars="200"/>
        <w:jc w:val="left"/>
        <w:rPr>
          <w:rFonts w:ascii="仿宋" w:hAnsi="仿宋" w:eastAsia="仿宋"/>
        </w:rPr>
      </w:pPr>
      <w:r>
        <w:rPr>
          <w:rFonts w:ascii="仿宋" w:hAnsi="仿宋" w:eastAsia="仿宋"/>
        </w:rPr>
        <w:t>应按不影响用户正常使用，按故障排除时间、对生产造成的不良影响和设备安全为目标进行考核。</w:t>
      </w:r>
    </w:p>
    <w:p>
      <w:pPr>
        <w:pStyle w:val="3"/>
        <w:ind w:firstLine="482" w:firstLineChars="200"/>
        <w:rPr>
          <w:rFonts w:ascii="黑体" w:hAnsi="黑体" w:eastAsia="黑体"/>
          <w:sz w:val="24"/>
          <w:szCs w:val="24"/>
        </w:rPr>
      </w:pPr>
      <w:r>
        <w:rPr>
          <w:rFonts w:ascii="黑体" w:hAnsi="黑体" w:eastAsia="黑体"/>
          <w:sz w:val="24"/>
          <w:szCs w:val="24"/>
        </w:rPr>
        <w:t>九、培训要求</w:t>
      </w:r>
    </w:p>
    <w:p>
      <w:pPr>
        <w:spacing w:before="80" w:after="80" w:line="360" w:lineRule="auto"/>
        <w:ind w:firstLine="480" w:firstLineChars="200"/>
        <w:jc w:val="left"/>
        <w:rPr>
          <w:rFonts w:ascii="仿宋" w:hAnsi="仿宋" w:eastAsia="仿宋"/>
        </w:rPr>
      </w:pPr>
      <w:r>
        <w:rPr>
          <w:rFonts w:hint="eastAsia" w:ascii="仿宋" w:hAnsi="仿宋" w:eastAsia="仿宋"/>
          <w:lang w:eastAsia="zh-CN"/>
        </w:rPr>
        <w:t>卖方</w:t>
      </w:r>
      <w:r>
        <w:rPr>
          <w:rFonts w:ascii="仿宋" w:hAnsi="仿宋" w:eastAsia="仿宋"/>
        </w:rPr>
        <w:t>负责对招标方的技术人员进行技术培训。通过培训应使招标方人员能够掌握系统的基础知识、性能特点、技术要求和实际操作，并能相对独立地进行日常的操作、管理、维护，对常见故障可进行分析和处理。</w:t>
      </w:r>
    </w:p>
    <w:p>
      <w:pPr>
        <w:spacing w:before="80" w:after="80" w:line="360" w:lineRule="auto"/>
        <w:ind w:firstLine="480" w:firstLineChars="200"/>
        <w:jc w:val="left"/>
        <w:rPr>
          <w:rFonts w:ascii="仿宋" w:hAnsi="仿宋" w:eastAsia="仿宋"/>
        </w:rPr>
      </w:pPr>
      <w:r>
        <w:rPr>
          <w:rFonts w:ascii="仿宋" w:hAnsi="仿宋" w:eastAsia="仿宋"/>
        </w:rPr>
        <w:t>在本系统安装调试及使用过程中，</w:t>
      </w:r>
      <w:r>
        <w:rPr>
          <w:rFonts w:hint="eastAsia" w:ascii="仿宋" w:hAnsi="仿宋" w:eastAsia="仿宋"/>
          <w:lang w:eastAsia="zh-CN"/>
        </w:rPr>
        <w:t>卖方</w:t>
      </w:r>
      <w:r>
        <w:rPr>
          <w:rFonts w:ascii="仿宋" w:hAnsi="仿宋" w:eastAsia="仿宋"/>
        </w:rPr>
        <w:t>应对招标方人员进行培训。培训内容包括但不限于以下内容：</w:t>
      </w:r>
    </w:p>
    <w:p>
      <w:pPr>
        <w:spacing w:before="80" w:after="80" w:line="360" w:lineRule="auto"/>
        <w:ind w:firstLine="480" w:firstLineChars="200"/>
        <w:jc w:val="left"/>
        <w:rPr>
          <w:rFonts w:ascii="仿宋" w:hAnsi="仿宋" w:eastAsia="仿宋"/>
        </w:rPr>
      </w:pPr>
      <w:r>
        <w:rPr>
          <w:rFonts w:ascii="仿宋" w:hAnsi="仿宋" w:eastAsia="仿宋"/>
        </w:rPr>
        <w:t>1）在系统安装调试过程中，对招标方的随工技术人员进行现场培训。</w:t>
      </w:r>
    </w:p>
    <w:p>
      <w:pPr>
        <w:spacing w:before="80" w:after="80" w:line="360" w:lineRule="auto"/>
        <w:ind w:firstLine="480" w:firstLineChars="200"/>
        <w:jc w:val="left"/>
        <w:rPr>
          <w:rFonts w:ascii="仿宋" w:hAnsi="仿宋" w:eastAsia="仿宋"/>
        </w:rPr>
      </w:pPr>
      <w:r>
        <w:rPr>
          <w:rFonts w:ascii="仿宋" w:hAnsi="仿宋" w:eastAsia="仿宋"/>
        </w:rPr>
        <w:t>2）系统升级后，</w:t>
      </w:r>
      <w:r>
        <w:rPr>
          <w:rFonts w:hint="eastAsia" w:ascii="仿宋" w:hAnsi="仿宋" w:eastAsia="仿宋"/>
          <w:lang w:eastAsia="zh-CN"/>
        </w:rPr>
        <w:t>卖方</w:t>
      </w:r>
      <w:r>
        <w:rPr>
          <w:rFonts w:ascii="仿宋" w:hAnsi="仿宋" w:eastAsia="仿宋"/>
        </w:rPr>
        <w:t>应及时提供全部资料，并进行相关培训。</w:t>
      </w:r>
    </w:p>
    <w:p>
      <w:pPr>
        <w:spacing w:before="80" w:after="80" w:line="360" w:lineRule="auto"/>
        <w:ind w:firstLine="480" w:firstLineChars="200"/>
        <w:jc w:val="left"/>
        <w:rPr>
          <w:rFonts w:ascii="仿宋" w:hAnsi="仿宋" w:eastAsia="仿宋"/>
        </w:rPr>
      </w:pPr>
      <w:r>
        <w:rPr>
          <w:rFonts w:ascii="仿宋" w:hAnsi="仿宋" w:eastAsia="仿宋"/>
        </w:rPr>
        <w:t>3）</w:t>
      </w:r>
      <w:r>
        <w:rPr>
          <w:rFonts w:hint="eastAsia" w:ascii="仿宋" w:hAnsi="仿宋" w:eastAsia="仿宋"/>
          <w:lang w:eastAsia="zh-CN"/>
        </w:rPr>
        <w:t>卖方</w:t>
      </w:r>
      <w:r>
        <w:rPr>
          <w:rFonts w:ascii="仿宋" w:hAnsi="仿宋" w:eastAsia="仿宋"/>
        </w:rPr>
        <w:t>在完成现场故障排除后，应针对此类故障的起因和解决方法对招标方人员进行现场培训。</w:t>
      </w:r>
    </w:p>
    <w:p>
      <w:pPr>
        <w:spacing w:before="80" w:after="80" w:line="360" w:lineRule="auto"/>
        <w:ind w:firstLine="480" w:firstLineChars="200"/>
        <w:jc w:val="left"/>
        <w:rPr>
          <w:rFonts w:ascii="仿宋" w:hAnsi="仿宋" w:eastAsia="仿宋"/>
        </w:rPr>
      </w:pPr>
      <w:r>
        <w:rPr>
          <w:rFonts w:ascii="仿宋" w:hAnsi="仿宋" w:eastAsia="仿宋"/>
        </w:rPr>
        <w:t>4）为保证系统正常工作，</w:t>
      </w:r>
      <w:r>
        <w:rPr>
          <w:rFonts w:hint="eastAsia" w:ascii="仿宋" w:hAnsi="仿宋" w:eastAsia="仿宋"/>
          <w:lang w:eastAsia="zh-CN"/>
        </w:rPr>
        <w:t>卖方</w:t>
      </w:r>
      <w:r>
        <w:rPr>
          <w:rFonts w:ascii="仿宋" w:hAnsi="仿宋" w:eastAsia="仿宋"/>
        </w:rPr>
        <w:t>需负责培训招标方日常维护人员，使维护人员能完全熟悉并掌握系统维护技能，及时排除一般的系统故障。</w:t>
      </w:r>
    </w:p>
    <w:p>
      <w:pPr>
        <w:spacing w:before="80" w:after="80" w:line="360" w:lineRule="auto"/>
        <w:ind w:firstLine="480" w:firstLineChars="200"/>
        <w:jc w:val="left"/>
        <w:rPr>
          <w:rFonts w:ascii="仿宋" w:hAnsi="仿宋" w:eastAsia="仿宋"/>
        </w:rPr>
      </w:pPr>
      <w:r>
        <w:rPr>
          <w:rFonts w:ascii="仿宋" w:hAnsi="仿宋" w:eastAsia="仿宋"/>
        </w:rPr>
        <w:t>5）技术培训不少于5次，每次人数在5~15人。</w:t>
      </w:r>
    </w:p>
    <w:p>
      <w:pPr>
        <w:spacing w:before="80" w:after="80" w:line="360" w:lineRule="auto"/>
        <w:ind w:firstLine="480" w:firstLineChars="200"/>
        <w:jc w:val="left"/>
        <w:rPr>
          <w:rFonts w:ascii="仿宋" w:hAnsi="仿宋" w:eastAsia="仿宋"/>
        </w:rPr>
      </w:pPr>
      <w:r>
        <w:rPr>
          <w:rFonts w:ascii="仿宋" w:hAnsi="仿宋" w:eastAsia="仿宋"/>
        </w:rPr>
        <w:t>6）培训对象及内容：</w:t>
      </w:r>
    </w:p>
    <w:p>
      <w:pPr>
        <w:pStyle w:val="19"/>
        <w:numPr>
          <w:ilvl w:val="0"/>
          <w:numId w:val="1"/>
        </w:numPr>
        <w:spacing w:before="40" w:after="40" w:line="360" w:lineRule="auto"/>
        <w:rPr>
          <w:rFonts w:ascii="仿宋" w:hAnsi="仿宋" w:eastAsia="仿宋"/>
        </w:rPr>
      </w:pPr>
      <w:r>
        <w:rPr>
          <w:rFonts w:ascii="仿宋" w:hAnsi="仿宋" w:eastAsia="仿宋"/>
        </w:rPr>
        <w:t>库管员：出入库操作、库存查询、盘点操作、标签打印、应急处理——现场实操+一对一指导；</w:t>
      </w:r>
    </w:p>
    <w:p>
      <w:pPr>
        <w:pStyle w:val="19"/>
        <w:numPr>
          <w:ilvl w:val="0"/>
          <w:numId w:val="1"/>
        </w:numPr>
        <w:spacing w:before="40" w:after="40" w:line="360" w:lineRule="auto"/>
        <w:rPr>
          <w:rFonts w:ascii="仿宋" w:hAnsi="仿宋" w:eastAsia="仿宋"/>
        </w:rPr>
      </w:pPr>
      <w:r>
        <w:rPr>
          <w:rFonts w:ascii="仿宋" w:hAnsi="仿宋" w:eastAsia="仿宋"/>
        </w:rPr>
        <w:t>班组操作工：PDA扫码出入库、异常情况处理——现场演示+实操练习；</w:t>
      </w:r>
    </w:p>
    <w:p>
      <w:pPr>
        <w:pStyle w:val="19"/>
        <w:numPr>
          <w:ilvl w:val="0"/>
          <w:numId w:val="1"/>
        </w:numPr>
        <w:spacing w:before="40" w:after="40" w:line="360" w:lineRule="auto"/>
        <w:rPr>
          <w:rFonts w:ascii="仿宋" w:hAnsi="仿宋" w:eastAsia="仿宋"/>
        </w:rPr>
      </w:pPr>
      <w:r>
        <w:rPr>
          <w:rFonts w:ascii="仿宋" w:hAnsi="仿宋" w:eastAsia="仿宋"/>
        </w:rPr>
        <w:t>生产管理人员：报表查看、数据分析、库存预警、全局管控——现场讲解+上机操作；</w:t>
      </w:r>
    </w:p>
    <w:p>
      <w:pPr>
        <w:pStyle w:val="19"/>
        <w:numPr>
          <w:ilvl w:val="0"/>
          <w:numId w:val="1"/>
        </w:numPr>
        <w:spacing w:before="40" w:after="40" w:line="360" w:lineRule="auto"/>
        <w:rPr>
          <w:rFonts w:ascii="仿宋" w:hAnsi="仿宋" w:eastAsia="仿宋"/>
        </w:rPr>
      </w:pPr>
      <w:r>
        <w:rPr>
          <w:rFonts w:ascii="仿宋" w:hAnsi="仿宋" w:eastAsia="仿宋"/>
        </w:rPr>
        <w:t>系统管理员：服务器维护、数据备份与恢复、权限管理、故障排查——理论讲解+实操演练。</w:t>
      </w:r>
    </w:p>
    <w:p>
      <w:pPr>
        <w:spacing w:before="80" w:after="80" w:line="360" w:lineRule="auto"/>
        <w:ind w:firstLine="480" w:firstLineChars="200"/>
        <w:jc w:val="left"/>
        <w:rPr>
          <w:rFonts w:ascii="仿宋" w:hAnsi="仿宋" w:eastAsia="仿宋"/>
        </w:rPr>
      </w:pPr>
      <w:r>
        <w:rPr>
          <w:rFonts w:ascii="仿宋" w:hAnsi="仿宋" w:eastAsia="仿宋"/>
        </w:rPr>
        <w:t>提供操作手册与视频教程，便于后续查阅。</w:t>
      </w:r>
    </w:p>
    <w:p>
      <w:pPr>
        <w:pStyle w:val="3"/>
        <w:ind w:firstLine="482" w:firstLineChars="200"/>
        <w:rPr>
          <w:rFonts w:ascii="黑体" w:hAnsi="黑体" w:eastAsia="黑体"/>
          <w:sz w:val="24"/>
          <w:szCs w:val="24"/>
        </w:rPr>
      </w:pPr>
      <w:r>
        <w:rPr>
          <w:rFonts w:ascii="黑体" w:hAnsi="黑体" w:eastAsia="黑体"/>
          <w:sz w:val="24"/>
          <w:szCs w:val="24"/>
        </w:rPr>
        <w:t>十、技术服务</w:t>
      </w:r>
    </w:p>
    <w:p>
      <w:pPr>
        <w:pStyle w:val="3"/>
        <w:ind w:firstLine="482" w:firstLineChars="200"/>
        <w:rPr>
          <w:rFonts w:ascii="楷体" w:hAnsi="楷体" w:eastAsia="楷体"/>
          <w:sz w:val="24"/>
          <w:szCs w:val="24"/>
        </w:rPr>
      </w:pPr>
      <w:r>
        <w:rPr>
          <w:rFonts w:hint="eastAsia" w:ascii="楷体" w:hAnsi="楷体" w:eastAsia="楷体"/>
          <w:sz w:val="24"/>
          <w:szCs w:val="24"/>
        </w:rPr>
        <w:t>1</w:t>
      </w:r>
      <w:r>
        <w:rPr>
          <w:rFonts w:ascii="楷体" w:hAnsi="楷体" w:eastAsia="楷体"/>
          <w:sz w:val="24"/>
          <w:szCs w:val="24"/>
        </w:rPr>
        <w:t>.</w:t>
      </w:r>
      <w:r>
        <w:rPr>
          <w:rFonts w:hint="eastAsia" w:ascii="楷体" w:hAnsi="楷体" w:eastAsia="楷体"/>
          <w:sz w:val="24"/>
          <w:szCs w:val="24"/>
        </w:rPr>
        <w:t>质保期内服务</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库管系统质保期应不少于1年。</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供货方在质保期内提供全天24小时热线电话服务。供货方将提供用户至少2个电话服务的联系电话号码，用户来电需要供货方在90分钟内得到答复；</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对质保期内出现的系统发生故障/瘫痪，供货方在接到用户通知后限定时间内到达用户现场，限定时间内予以排除，其间的所有费用由供货方承担。修好后，将一式两份报告给用户，包括故障原因，解决措施，完成修理所需时间及恢复正常运行日期；</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对于进口设备，确保24小时内完成与设备供应商沟通，给用户以明确答复，进口设备在中国大陆境内设有维修服务站，由供货方负责安排。其间的所有费用由供货方承担。</w:t>
      </w:r>
    </w:p>
    <w:p>
      <w:pPr>
        <w:pStyle w:val="19"/>
        <w:numPr>
          <w:ilvl w:val="0"/>
          <w:numId w:val="1"/>
        </w:numPr>
        <w:spacing w:before="40" w:after="40" w:line="360" w:lineRule="auto"/>
        <w:ind w:left="480" w:leftChars="200" w:firstLine="480" w:firstLineChars="200"/>
        <w:rPr>
          <w:rFonts w:ascii="仿宋" w:hAnsi="仿宋" w:eastAsia="仿宋"/>
        </w:rPr>
      </w:pPr>
      <w:r>
        <w:rPr>
          <w:rFonts w:ascii="仿宋" w:hAnsi="仿宋" w:eastAsia="仿宋"/>
        </w:rPr>
        <w:t>供货方需要提供原厂商直接支持的质保期内重要套装服务和技术支持。在质保期内，供货方需要免费提供全部应用软件维护与升级服务。在质保期外，应继续提供应用软件免费维护和系统软件及应用软件有偿升级服务。产品升级应以软件升级为主，包括操作系统升级、数据库升级和管理</w:t>
      </w:r>
      <w:r>
        <w:rPr>
          <w:rFonts w:hint="eastAsia" w:ascii="仿宋" w:hAnsi="仿宋" w:eastAsia="仿宋"/>
          <w:lang w:val="en-US" w:eastAsia="zh-CN"/>
        </w:rPr>
        <w:t>检测</w:t>
      </w:r>
      <w:r>
        <w:rPr>
          <w:rFonts w:ascii="仿宋" w:hAnsi="仿宋" w:eastAsia="仿宋"/>
        </w:rPr>
        <w:t>软件升级。</w:t>
      </w:r>
    </w:p>
    <w:p>
      <w:pPr>
        <w:pStyle w:val="19"/>
        <w:numPr>
          <w:ilvl w:val="0"/>
          <w:numId w:val="1"/>
        </w:numPr>
        <w:spacing w:before="80" w:after="80" w:line="360" w:lineRule="auto"/>
        <w:ind w:left="480" w:leftChars="200" w:firstLine="480" w:firstLineChars="200"/>
        <w:rPr>
          <w:rFonts w:ascii="仿宋" w:hAnsi="仿宋" w:eastAsia="仿宋"/>
        </w:rPr>
      </w:pPr>
      <w:r>
        <w:rPr>
          <w:rFonts w:ascii="仿宋" w:hAnsi="仿宋" w:eastAsia="仿宋"/>
        </w:rPr>
        <w:t>在质保期满时，供货方工程师和用户代表对设备进行另一次测试，任何故障须由供货方自费解决并取得用户的认可。</w:t>
      </w:r>
    </w:p>
    <w:p>
      <w:pPr>
        <w:pStyle w:val="3"/>
        <w:ind w:firstLine="482" w:firstLineChars="200"/>
        <w:rPr>
          <w:rFonts w:ascii="楷体" w:hAnsi="楷体" w:eastAsia="楷体"/>
          <w:sz w:val="24"/>
          <w:szCs w:val="24"/>
        </w:rPr>
      </w:pPr>
      <w:r>
        <w:rPr>
          <w:rFonts w:hint="eastAsia" w:ascii="楷体" w:hAnsi="楷体" w:eastAsia="楷体"/>
          <w:sz w:val="24"/>
          <w:szCs w:val="24"/>
        </w:rPr>
        <w:t>2</w:t>
      </w:r>
      <w:r>
        <w:rPr>
          <w:rFonts w:ascii="楷体" w:hAnsi="楷体" w:eastAsia="楷体"/>
          <w:sz w:val="24"/>
          <w:szCs w:val="24"/>
        </w:rPr>
        <w:t>.</w:t>
      </w:r>
      <w:r>
        <w:rPr>
          <w:rFonts w:hint="eastAsia" w:ascii="楷体" w:hAnsi="楷体" w:eastAsia="楷体"/>
          <w:sz w:val="24"/>
          <w:szCs w:val="24"/>
        </w:rPr>
        <w:t>质保期外服务</w:t>
      </w:r>
    </w:p>
    <w:p>
      <w:pPr>
        <w:pStyle w:val="19"/>
        <w:numPr>
          <w:ilvl w:val="0"/>
          <w:numId w:val="1"/>
        </w:numPr>
        <w:spacing w:before="40" w:after="40"/>
        <w:ind w:left="480" w:leftChars="200" w:firstLine="480" w:firstLineChars="200"/>
        <w:rPr>
          <w:rFonts w:ascii="仿宋" w:hAnsi="仿宋" w:eastAsia="仿宋"/>
        </w:rPr>
      </w:pPr>
      <w:r>
        <w:rPr>
          <w:rFonts w:ascii="仿宋" w:hAnsi="仿宋" w:eastAsia="仿宋"/>
        </w:rPr>
        <w:t>质保期后的维修响应时间应与质保期内相同；</w:t>
      </w:r>
    </w:p>
    <w:p>
      <w:pPr>
        <w:pStyle w:val="19"/>
        <w:numPr>
          <w:ilvl w:val="0"/>
          <w:numId w:val="1"/>
        </w:numPr>
        <w:spacing w:before="40" w:after="40"/>
        <w:ind w:left="480" w:leftChars="200" w:firstLine="480" w:firstLineChars="200"/>
        <w:rPr>
          <w:rFonts w:ascii="仿宋" w:hAnsi="仿宋" w:eastAsia="仿宋"/>
        </w:rPr>
      </w:pPr>
      <w:r>
        <w:rPr>
          <w:rFonts w:ascii="仿宋" w:hAnsi="仿宋" w:eastAsia="仿宋"/>
        </w:rPr>
        <w:t>供货方应积极与用户签订维护保养服务合同，并提供即时响应等服务；</w:t>
      </w:r>
    </w:p>
    <w:p>
      <w:pPr>
        <w:pStyle w:val="3"/>
        <w:ind w:firstLine="482" w:firstLineChars="200"/>
        <w:rPr>
          <w:rFonts w:ascii="楷体" w:hAnsi="楷体" w:eastAsia="楷体"/>
          <w:sz w:val="24"/>
          <w:szCs w:val="24"/>
        </w:rPr>
      </w:pPr>
      <w:r>
        <w:rPr>
          <w:rFonts w:hint="eastAsia" w:ascii="楷体" w:hAnsi="楷体" w:eastAsia="楷体"/>
          <w:sz w:val="24"/>
          <w:szCs w:val="24"/>
        </w:rPr>
        <w:t>3</w:t>
      </w:r>
      <w:r>
        <w:rPr>
          <w:rFonts w:ascii="楷体" w:hAnsi="楷体" w:eastAsia="楷体"/>
          <w:sz w:val="24"/>
          <w:szCs w:val="24"/>
        </w:rPr>
        <w:t>.</w:t>
      </w:r>
      <w:r>
        <w:rPr>
          <w:rFonts w:hint="eastAsia" w:ascii="楷体" w:hAnsi="楷体" w:eastAsia="楷体"/>
          <w:sz w:val="24"/>
          <w:szCs w:val="24"/>
        </w:rPr>
        <w:t>定期走访巡检</w:t>
      </w:r>
    </w:p>
    <w:p>
      <w:pPr>
        <w:spacing w:before="80" w:after="80" w:line="360" w:lineRule="auto"/>
        <w:ind w:firstLine="480" w:firstLineChars="200"/>
        <w:jc w:val="left"/>
        <w:rPr>
          <w:rFonts w:ascii="仿宋" w:hAnsi="仿宋" w:eastAsia="仿宋"/>
        </w:rPr>
      </w:pPr>
      <w:r>
        <w:rPr>
          <w:rFonts w:ascii="仿宋" w:hAnsi="仿宋" w:eastAsia="仿宋"/>
        </w:rPr>
        <w:t>供货方在系统安装验收后应定期派工程技术人员进行系统巡检，现场对系统进行测试及优化，及时发现系统潜在的故障，提早消除故障隐患，确保系统安全稳定运行。</w:t>
      </w:r>
    </w:p>
    <w:p>
      <w:pPr>
        <w:pStyle w:val="3"/>
        <w:ind w:firstLine="482" w:firstLineChars="200"/>
        <w:rPr>
          <w:rFonts w:ascii="楷体" w:hAnsi="楷体" w:eastAsia="楷体"/>
          <w:sz w:val="24"/>
          <w:szCs w:val="24"/>
        </w:rPr>
      </w:pPr>
      <w:r>
        <w:rPr>
          <w:rFonts w:hint="eastAsia" w:ascii="楷体" w:hAnsi="楷体" w:eastAsia="楷体"/>
          <w:sz w:val="24"/>
          <w:szCs w:val="24"/>
        </w:rPr>
        <w:t>4</w:t>
      </w:r>
      <w:r>
        <w:rPr>
          <w:rFonts w:ascii="楷体" w:hAnsi="楷体" w:eastAsia="楷体"/>
          <w:sz w:val="24"/>
          <w:szCs w:val="24"/>
        </w:rPr>
        <w:t>.</w:t>
      </w:r>
      <w:r>
        <w:rPr>
          <w:rFonts w:hint="eastAsia" w:ascii="楷体" w:hAnsi="楷体" w:eastAsia="楷体"/>
          <w:sz w:val="24"/>
          <w:szCs w:val="24"/>
        </w:rPr>
        <w:t>软件维护和升级</w:t>
      </w:r>
    </w:p>
    <w:p>
      <w:pPr>
        <w:pStyle w:val="19"/>
        <w:numPr>
          <w:ilvl w:val="0"/>
          <w:numId w:val="1"/>
        </w:numPr>
        <w:spacing w:before="40" w:after="40" w:line="360" w:lineRule="auto"/>
        <w:rPr>
          <w:rFonts w:ascii="仿宋" w:hAnsi="仿宋" w:eastAsia="仿宋"/>
        </w:rPr>
      </w:pPr>
      <w:r>
        <w:rPr>
          <w:rFonts w:ascii="仿宋" w:hAnsi="仿宋" w:eastAsia="仿宋"/>
        </w:rPr>
        <w:t>软件升级包括所提供的操作系统升级、数据库升级、管理</w:t>
      </w:r>
      <w:r>
        <w:rPr>
          <w:rFonts w:hint="eastAsia" w:ascii="仿宋" w:hAnsi="仿宋" w:eastAsia="仿宋"/>
          <w:lang w:val="en-US" w:eastAsia="zh-CN"/>
        </w:rPr>
        <w:t>检测</w:t>
      </w:r>
      <w:r>
        <w:rPr>
          <w:rFonts w:ascii="仿宋" w:hAnsi="仿宋" w:eastAsia="仿宋"/>
        </w:rPr>
        <w:t>软件升级。</w:t>
      </w:r>
    </w:p>
    <w:p>
      <w:pPr>
        <w:pStyle w:val="19"/>
        <w:numPr>
          <w:ilvl w:val="0"/>
          <w:numId w:val="1"/>
        </w:numPr>
        <w:spacing w:before="40" w:after="40" w:line="360" w:lineRule="auto"/>
        <w:rPr>
          <w:rFonts w:ascii="仿宋" w:hAnsi="仿宋" w:eastAsia="仿宋"/>
        </w:rPr>
      </w:pPr>
      <w:r>
        <w:rPr>
          <w:rFonts w:hint="eastAsia" w:ascii="仿宋" w:hAnsi="仿宋" w:eastAsia="仿宋"/>
          <w:lang w:eastAsia="zh-CN"/>
        </w:rPr>
        <w:t>卖方</w:t>
      </w:r>
      <w:r>
        <w:rPr>
          <w:rFonts w:ascii="仿宋" w:hAnsi="仿宋" w:eastAsia="仿宋"/>
        </w:rPr>
        <w:t>应无偿提供所提供的全部软件的升级服务。</w:t>
      </w:r>
    </w:p>
    <w:p>
      <w:pPr>
        <w:pStyle w:val="19"/>
        <w:numPr>
          <w:ilvl w:val="0"/>
          <w:numId w:val="1"/>
        </w:numPr>
        <w:spacing w:before="40" w:after="40" w:line="360" w:lineRule="auto"/>
        <w:rPr>
          <w:rFonts w:ascii="仿宋" w:hAnsi="仿宋" w:eastAsia="仿宋"/>
        </w:rPr>
      </w:pPr>
      <w:r>
        <w:rPr>
          <w:rFonts w:ascii="仿宋" w:hAnsi="仿宋" w:eastAsia="仿宋"/>
        </w:rPr>
        <w:t>如用户以后需要增加其他相关工程，供货方应提供开发接口平台，并与其他单位共同完成软件管理对接。</w:t>
      </w:r>
    </w:p>
    <w:p>
      <w:pPr>
        <w:pStyle w:val="3"/>
        <w:ind w:firstLine="482" w:firstLineChars="200"/>
        <w:rPr>
          <w:rFonts w:ascii="楷体" w:hAnsi="楷体" w:eastAsia="楷体"/>
          <w:sz w:val="24"/>
          <w:szCs w:val="24"/>
        </w:rPr>
      </w:pPr>
      <w:r>
        <w:rPr>
          <w:rFonts w:hint="eastAsia" w:ascii="楷体" w:hAnsi="楷体" w:eastAsia="楷体"/>
          <w:sz w:val="24"/>
          <w:szCs w:val="24"/>
        </w:rPr>
        <w:t>5</w:t>
      </w:r>
      <w:r>
        <w:rPr>
          <w:rFonts w:ascii="楷体" w:hAnsi="楷体" w:eastAsia="楷体"/>
          <w:sz w:val="24"/>
          <w:szCs w:val="24"/>
        </w:rPr>
        <w:t>.</w:t>
      </w:r>
      <w:r>
        <w:rPr>
          <w:rFonts w:hint="eastAsia" w:ascii="楷体" w:hAnsi="楷体" w:eastAsia="楷体"/>
          <w:sz w:val="24"/>
          <w:szCs w:val="24"/>
        </w:rPr>
        <w:t>其他</w:t>
      </w:r>
    </w:p>
    <w:p>
      <w:pPr>
        <w:spacing w:before="80" w:after="80" w:line="360" w:lineRule="auto"/>
        <w:ind w:firstLine="480" w:firstLineChars="200"/>
        <w:jc w:val="left"/>
        <w:rPr>
          <w:rFonts w:ascii="仿宋" w:hAnsi="仿宋" w:eastAsia="仿宋"/>
        </w:rPr>
      </w:pPr>
      <w:r>
        <w:rPr>
          <w:rFonts w:hint="eastAsia" w:ascii="仿宋" w:hAnsi="仿宋" w:eastAsia="仿宋"/>
          <w:lang w:eastAsia="zh-CN"/>
        </w:rPr>
        <w:t>卖方</w:t>
      </w:r>
      <w:r>
        <w:rPr>
          <w:rFonts w:ascii="仿宋" w:hAnsi="仿宋" w:eastAsia="仿宋"/>
        </w:rPr>
        <w:t>应提供本系统维护以及不低于</w:t>
      </w:r>
      <w:r>
        <w:rPr>
          <w:rFonts w:hint="eastAsia" w:ascii="仿宋" w:hAnsi="仿宋" w:eastAsia="仿宋"/>
        </w:rPr>
        <w:t>一</w:t>
      </w:r>
      <w:r>
        <w:rPr>
          <w:rFonts w:ascii="仿宋" w:hAnsi="仿宋" w:eastAsia="仿宋"/>
        </w:rPr>
        <w:t>年的免费保修的承诺函，免费保修期自系统竣工验收完毕之日起计算。</w:t>
      </w:r>
    </w:p>
    <w:p>
      <w:pPr>
        <w:spacing w:before="80" w:after="80" w:line="360" w:lineRule="auto"/>
        <w:ind w:firstLine="480" w:firstLineChars="200"/>
        <w:jc w:val="left"/>
        <w:rPr>
          <w:rFonts w:ascii="仿宋" w:hAnsi="仿宋" w:eastAsia="仿宋"/>
        </w:rPr>
      </w:pPr>
      <w:r>
        <w:rPr>
          <w:rFonts w:ascii="仿宋" w:hAnsi="仿宋" w:eastAsia="仿宋"/>
        </w:rPr>
        <w:t>免费保修期内</w:t>
      </w:r>
      <w:r>
        <w:rPr>
          <w:rFonts w:hint="eastAsia" w:ascii="仿宋" w:hAnsi="仿宋" w:eastAsia="仿宋"/>
          <w:lang w:eastAsia="zh-CN"/>
        </w:rPr>
        <w:t>卖方</w:t>
      </w:r>
      <w:r>
        <w:rPr>
          <w:rFonts w:ascii="仿宋" w:hAnsi="仿宋" w:eastAsia="仿宋"/>
        </w:rPr>
        <w:t>应至少提供以下服务：故障处理、技术支持、系统升级、定期维护，期间所产生费用均由</w:t>
      </w:r>
      <w:r>
        <w:rPr>
          <w:rFonts w:hint="eastAsia" w:ascii="仿宋" w:hAnsi="仿宋" w:eastAsia="仿宋"/>
          <w:lang w:eastAsia="zh-CN"/>
        </w:rPr>
        <w:t>卖方</w:t>
      </w:r>
      <w:r>
        <w:rPr>
          <w:rFonts w:ascii="仿宋" w:hAnsi="仿宋" w:eastAsia="仿宋"/>
        </w:rPr>
        <w:t>负担。</w:t>
      </w:r>
    </w:p>
    <w:p>
      <w:pPr>
        <w:spacing w:before="80" w:after="80" w:line="360" w:lineRule="auto"/>
        <w:ind w:firstLine="480" w:firstLineChars="200"/>
        <w:jc w:val="left"/>
        <w:rPr>
          <w:rFonts w:ascii="仿宋" w:hAnsi="仿宋" w:eastAsia="仿宋"/>
        </w:rPr>
      </w:pPr>
      <w:r>
        <w:rPr>
          <w:rFonts w:hint="eastAsia" w:ascii="仿宋" w:hAnsi="仿宋" w:eastAsia="仿宋"/>
          <w:lang w:eastAsia="zh-CN"/>
        </w:rPr>
        <w:t>卖方</w:t>
      </w:r>
      <w:r>
        <w:rPr>
          <w:rFonts w:ascii="仿宋" w:hAnsi="仿宋" w:eastAsia="仿宋"/>
        </w:rPr>
        <w:t>提供的技术支持应为7×24h服务，响应时间不大于1h，同一问题三次远程技术支持仍不能解决时，</w:t>
      </w:r>
      <w:r>
        <w:rPr>
          <w:rFonts w:hint="eastAsia" w:ascii="仿宋" w:hAnsi="仿宋" w:eastAsia="仿宋"/>
          <w:lang w:eastAsia="zh-CN"/>
        </w:rPr>
        <w:t>卖方</w:t>
      </w:r>
      <w:r>
        <w:rPr>
          <w:rFonts w:ascii="仿宋" w:hAnsi="仿宋" w:eastAsia="仿宋"/>
        </w:rPr>
        <w:t>应派人至现场解决。</w:t>
      </w:r>
    </w:p>
    <w:p>
      <w:pPr>
        <w:spacing w:before="80" w:after="80" w:line="360" w:lineRule="auto"/>
        <w:ind w:firstLine="480" w:firstLineChars="200"/>
        <w:jc w:val="left"/>
        <w:rPr>
          <w:rFonts w:ascii="仿宋" w:hAnsi="仿宋" w:eastAsia="仿宋"/>
        </w:rPr>
      </w:pPr>
      <w:r>
        <w:rPr>
          <w:rFonts w:ascii="仿宋" w:hAnsi="仿宋" w:eastAsia="仿宋"/>
        </w:rPr>
        <w:t>本系统出现故障，</w:t>
      </w:r>
      <w:r>
        <w:rPr>
          <w:rFonts w:hint="eastAsia" w:ascii="仿宋" w:hAnsi="仿宋" w:eastAsia="仿宋"/>
          <w:lang w:eastAsia="zh-CN"/>
        </w:rPr>
        <w:t>卖方</w:t>
      </w:r>
      <w:r>
        <w:rPr>
          <w:rFonts w:ascii="仿宋" w:hAnsi="仿宋" w:eastAsia="仿宋"/>
        </w:rPr>
        <w:t>应在2h以内响应，4h内到达现场；一般性故障应在6h内排除，故障的产品应迅速更换。系统三次发生同一故障，</w:t>
      </w:r>
      <w:r>
        <w:rPr>
          <w:rFonts w:hint="eastAsia" w:ascii="仿宋" w:hAnsi="仿宋" w:eastAsia="仿宋"/>
          <w:lang w:eastAsia="zh-CN"/>
        </w:rPr>
        <w:t>卖方</w:t>
      </w:r>
      <w:r>
        <w:rPr>
          <w:rFonts w:ascii="仿宋" w:hAnsi="仿宋" w:eastAsia="仿宋"/>
        </w:rPr>
        <w:t>向招标方提供故障说明及解决方案。</w:t>
      </w:r>
    </w:p>
    <w:p>
      <w:pPr>
        <w:spacing w:before="80" w:after="80" w:line="360" w:lineRule="auto"/>
        <w:ind w:firstLine="480" w:firstLineChars="200"/>
        <w:jc w:val="left"/>
        <w:rPr>
          <w:rFonts w:ascii="仿宋" w:hAnsi="仿宋" w:eastAsia="仿宋"/>
        </w:rPr>
      </w:pPr>
      <w:r>
        <w:rPr>
          <w:rFonts w:ascii="仿宋" w:hAnsi="仿宋" w:eastAsia="仿宋"/>
        </w:rPr>
        <w:t>当相关系统与本系统接口部分调整，试验要求改变时，</w:t>
      </w:r>
      <w:r>
        <w:rPr>
          <w:rFonts w:hint="eastAsia" w:ascii="仿宋" w:hAnsi="仿宋" w:eastAsia="仿宋"/>
          <w:lang w:eastAsia="zh-CN"/>
        </w:rPr>
        <w:t>卖方</w:t>
      </w:r>
      <w:r>
        <w:rPr>
          <w:rFonts w:ascii="仿宋" w:hAnsi="仿宋" w:eastAsia="仿宋"/>
        </w:rPr>
        <w:t>应负责软件修改及功能完善。</w:t>
      </w:r>
    </w:p>
    <w:p>
      <w:pPr>
        <w:spacing w:before="80" w:after="80" w:line="360" w:lineRule="auto"/>
        <w:ind w:firstLine="480" w:firstLineChars="200"/>
        <w:jc w:val="left"/>
        <w:rPr>
          <w:rFonts w:ascii="仿宋" w:hAnsi="仿宋" w:eastAsia="仿宋"/>
        </w:rPr>
      </w:pPr>
      <w:r>
        <w:rPr>
          <w:rFonts w:ascii="仿宋" w:hAnsi="仿宋" w:eastAsia="仿宋"/>
        </w:rPr>
        <w:t>免费保修期内，</w:t>
      </w:r>
      <w:r>
        <w:rPr>
          <w:rFonts w:hint="eastAsia" w:ascii="仿宋" w:hAnsi="仿宋" w:eastAsia="仿宋"/>
          <w:lang w:eastAsia="zh-CN"/>
        </w:rPr>
        <w:t>卖方</w:t>
      </w:r>
      <w:r>
        <w:rPr>
          <w:rFonts w:ascii="仿宋" w:hAnsi="仿宋" w:eastAsia="仿宋"/>
        </w:rPr>
        <w:t>应每三个月至少一次进行定期维护服务。定期维护完成后，</w:t>
      </w:r>
      <w:r>
        <w:rPr>
          <w:rFonts w:hint="eastAsia" w:ascii="仿宋" w:hAnsi="仿宋" w:eastAsia="仿宋"/>
          <w:lang w:eastAsia="zh-CN"/>
        </w:rPr>
        <w:t>卖方</w:t>
      </w:r>
      <w:r>
        <w:rPr>
          <w:rFonts w:ascii="仿宋" w:hAnsi="仿宋" w:eastAsia="仿宋"/>
        </w:rPr>
        <w:t>应在3个工作日内向招标方提交维护记录。</w:t>
      </w:r>
      <w:bookmarkStart w:id="0" w:name="_GoBack"/>
      <w:bookmarkEnd w:id="0"/>
    </w:p>
    <w:sectPr>
      <w:footerReference r:id="rId3" w:type="default"/>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eastAsia="微软雅黑"/>
        <w:sz w:val="18"/>
        <w:szCs w:val="18"/>
      </w:rPr>
      <w:t xml:space="preserve">第 </w:t>
    </w:r>
    <w:r>
      <w:rPr>
        <w:sz w:val="18"/>
        <w:szCs w:val="18"/>
      </w:rPr>
      <w:fldChar w:fldCharType="begin"/>
    </w:r>
    <w:r>
      <w:rPr>
        <w:rFonts w:eastAsia="微软雅黑"/>
        <w:sz w:val="18"/>
        <w:szCs w:val="18"/>
      </w:rPr>
      <w:instrText xml:space="preserve">PAGE</w:instrText>
    </w:r>
    <w:r>
      <w:rPr>
        <w:sz w:val="18"/>
        <w:szCs w:val="18"/>
      </w:rPr>
      <w:fldChar w:fldCharType="separate"/>
    </w:r>
    <w:r>
      <w:rPr>
        <w:rFonts w:eastAsia="微软雅黑"/>
        <w:sz w:val="18"/>
        <w:szCs w:val="18"/>
      </w:rPr>
      <w:t>1</w:t>
    </w:r>
    <w:r>
      <w:rPr>
        <w:sz w:val="18"/>
        <w:szCs w:val="18"/>
      </w:rPr>
      <w:fldChar w:fldCharType="end"/>
    </w:r>
    <w:r>
      <w:rPr>
        <w:rFonts w:eastAsia="微软雅黑"/>
        <w:sz w:val="18"/>
        <w:szCs w:val="18"/>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797A9B"/>
    <w:multiLevelType w:val="multilevel"/>
    <w:tmpl w:val="5F797A9B"/>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33"/>
    <w:rsid w:val="00001B4B"/>
    <w:rsid w:val="00074E06"/>
    <w:rsid w:val="001A50E6"/>
    <w:rsid w:val="001F3A2B"/>
    <w:rsid w:val="00267276"/>
    <w:rsid w:val="00366BC8"/>
    <w:rsid w:val="00420A42"/>
    <w:rsid w:val="004953A1"/>
    <w:rsid w:val="004B609B"/>
    <w:rsid w:val="00515176"/>
    <w:rsid w:val="005B7C16"/>
    <w:rsid w:val="00630324"/>
    <w:rsid w:val="00671ACC"/>
    <w:rsid w:val="006852AB"/>
    <w:rsid w:val="007A44FE"/>
    <w:rsid w:val="007B7956"/>
    <w:rsid w:val="007D6D33"/>
    <w:rsid w:val="00994DB5"/>
    <w:rsid w:val="00A35E5A"/>
    <w:rsid w:val="00A755D4"/>
    <w:rsid w:val="00B1252A"/>
    <w:rsid w:val="00B45CF6"/>
    <w:rsid w:val="00D30667"/>
    <w:rsid w:val="00E943AD"/>
    <w:rsid w:val="00ED6649"/>
    <w:rsid w:val="081E4C42"/>
    <w:rsid w:val="08D723A2"/>
    <w:rsid w:val="09F70F55"/>
    <w:rsid w:val="0C452B1A"/>
    <w:rsid w:val="0D1E116A"/>
    <w:rsid w:val="11DF0601"/>
    <w:rsid w:val="14335AE3"/>
    <w:rsid w:val="22B662C6"/>
    <w:rsid w:val="24D10F97"/>
    <w:rsid w:val="27F37477"/>
    <w:rsid w:val="39FD4CA7"/>
    <w:rsid w:val="3A8535E5"/>
    <w:rsid w:val="4684382E"/>
    <w:rsid w:val="471054F8"/>
    <w:rsid w:val="49C73A2F"/>
    <w:rsid w:val="4A6C4D26"/>
    <w:rsid w:val="514E7348"/>
    <w:rsid w:val="5293561A"/>
    <w:rsid w:val="5B7C4DA2"/>
    <w:rsid w:val="5EAB2612"/>
    <w:rsid w:val="603E107B"/>
    <w:rsid w:val="644506DC"/>
    <w:rsid w:val="688D6550"/>
    <w:rsid w:val="6B327E5C"/>
    <w:rsid w:val="6EF32834"/>
    <w:rsid w:val="72327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cs="Times New Roman" w:eastAsiaTheme="minorEastAsia"/>
      <w:sz w:val="24"/>
      <w:szCs w:val="24"/>
      <w:lang w:val="en-US" w:eastAsia="zh-CN" w:bidi="ar-SA"/>
    </w:rPr>
  </w:style>
  <w:style w:type="paragraph" w:styleId="3">
    <w:name w:val="heading 1"/>
    <w:next w:val="1"/>
    <w:qFormat/>
    <w:uiPriority w:val="9"/>
    <w:pPr>
      <w:spacing w:before="360" w:after="200"/>
      <w:outlineLvl w:val="0"/>
    </w:pPr>
    <w:rPr>
      <w:rFonts w:ascii="Arial" w:hAnsi="Arial" w:eastAsia="微软雅黑" w:cs="Times New Roman"/>
      <w:b/>
      <w:bCs/>
      <w:sz w:val="36"/>
      <w:szCs w:val="36"/>
      <w:lang w:val="en-US" w:eastAsia="zh-CN" w:bidi="ar-SA"/>
    </w:rPr>
  </w:style>
  <w:style w:type="paragraph" w:styleId="4">
    <w:name w:val="heading 2"/>
    <w:next w:val="1"/>
    <w:semiHidden/>
    <w:unhideWhenUsed/>
    <w:qFormat/>
    <w:uiPriority w:val="9"/>
    <w:pPr>
      <w:spacing w:before="240" w:after="180"/>
      <w:outlineLvl w:val="1"/>
    </w:pPr>
    <w:rPr>
      <w:rFonts w:ascii="Arial" w:hAnsi="Arial" w:eastAsia="微软雅黑" w:cs="Times New Roman"/>
      <w:b/>
      <w:bCs/>
      <w:sz w:val="30"/>
      <w:szCs w:val="30"/>
      <w:lang w:val="en-US" w:eastAsia="zh-CN" w:bidi="ar-SA"/>
    </w:rPr>
  </w:style>
  <w:style w:type="paragraph" w:styleId="5">
    <w:name w:val="heading 3"/>
    <w:next w:val="1"/>
    <w:semiHidden/>
    <w:unhideWhenUsed/>
    <w:qFormat/>
    <w:uiPriority w:val="9"/>
    <w:pPr>
      <w:spacing w:before="200" w:after="120"/>
      <w:outlineLvl w:val="2"/>
    </w:pPr>
    <w:rPr>
      <w:rFonts w:ascii="Arial" w:hAnsi="Arial" w:eastAsia="微软雅黑" w:cs="Times New Roman"/>
      <w:b/>
      <w:bCs/>
      <w:sz w:val="26"/>
      <w:szCs w:val="26"/>
      <w:lang w:val="en-US" w:eastAsia="zh-CN" w:bidi="ar-SA"/>
    </w:rPr>
  </w:style>
  <w:style w:type="paragraph" w:styleId="6">
    <w:name w:val="heading 4"/>
    <w:next w:val="1"/>
    <w:semiHidden/>
    <w:unhideWhenUsed/>
    <w:qFormat/>
    <w:uiPriority w:val="9"/>
    <w:pPr>
      <w:outlineLvl w:val="3"/>
    </w:pPr>
    <w:rPr>
      <w:rFonts w:ascii="Arial" w:hAnsi="Arial" w:cs="Times New Roman" w:eastAsiaTheme="minorEastAsia"/>
      <w:i/>
      <w:iCs/>
      <w:color w:val="2E74B5"/>
      <w:sz w:val="24"/>
      <w:szCs w:val="24"/>
      <w:lang w:val="en-US" w:eastAsia="zh-CN" w:bidi="ar-SA"/>
    </w:rPr>
  </w:style>
  <w:style w:type="paragraph" w:styleId="7">
    <w:name w:val="heading 5"/>
    <w:next w:val="1"/>
    <w:semiHidden/>
    <w:unhideWhenUsed/>
    <w:qFormat/>
    <w:uiPriority w:val="9"/>
    <w:pPr>
      <w:outlineLvl w:val="4"/>
    </w:pPr>
    <w:rPr>
      <w:rFonts w:ascii="Arial" w:hAnsi="Arial" w:cs="Times New Roman" w:eastAsiaTheme="minorEastAsia"/>
      <w:color w:val="2E74B5"/>
      <w:sz w:val="24"/>
      <w:szCs w:val="24"/>
      <w:lang w:val="en-US" w:eastAsia="zh-CN" w:bidi="ar-SA"/>
    </w:rPr>
  </w:style>
  <w:style w:type="paragraph" w:styleId="8">
    <w:name w:val="heading 6"/>
    <w:next w:val="1"/>
    <w:semiHidden/>
    <w:unhideWhenUsed/>
    <w:qFormat/>
    <w:uiPriority w:val="9"/>
    <w:pPr>
      <w:outlineLvl w:val="5"/>
    </w:pPr>
    <w:rPr>
      <w:rFonts w:ascii="Arial" w:hAnsi="Arial" w:cs="Times New Roman" w:eastAsiaTheme="minorEastAsia"/>
      <w:color w:val="1F4D78"/>
      <w:sz w:val="24"/>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spacing w:after="120"/>
    </w:pPr>
    <w:rPr>
      <w:rFonts w:ascii="Calibri" w:hAnsi="Calibri"/>
    </w:rPr>
  </w:style>
  <w:style w:type="paragraph" w:styleId="9">
    <w:name w:val="endnote text"/>
    <w:link w:val="21"/>
    <w:semiHidden/>
    <w:unhideWhenUsed/>
    <w:qFormat/>
    <w:uiPriority w:val="99"/>
    <w:rPr>
      <w:rFonts w:ascii="Arial" w:hAnsi="Arial" w:cs="Times New Roman" w:eastAsiaTheme="minorEastAsia"/>
      <w:sz w:val="20"/>
      <w:szCs w:val="20"/>
      <w:lang w:val="en-US" w:eastAsia="zh-CN" w:bidi="ar-SA"/>
    </w:rPr>
  </w:style>
  <w:style w:type="paragraph" w:styleId="10">
    <w:name w:val="footnote text"/>
    <w:link w:val="20"/>
    <w:semiHidden/>
    <w:unhideWhenUsed/>
    <w:qFormat/>
    <w:uiPriority w:val="99"/>
    <w:rPr>
      <w:rFonts w:ascii="Arial" w:hAnsi="Arial" w:cs="Times New Roman" w:eastAsiaTheme="minorEastAsia"/>
      <w:sz w:val="20"/>
      <w:szCs w:val="20"/>
      <w:lang w:val="en-US" w:eastAsia="zh-CN" w:bidi="ar-SA"/>
    </w:rPr>
  </w:style>
  <w:style w:type="paragraph" w:styleId="11">
    <w:name w:val="Title"/>
    <w:qFormat/>
    <w:uiPriority w:val="10"/>
    <w:rPr>
      <w:rFonts w:ascii="Arial" w:hAnsi="Arial" w:cs="Times New Roman" w:eastAsiaTheme="minorEastAsia"/>
      <w:sz w:val="56"/>
      <w:szCs w:val="56"/>
      <w:lang w:val="en-US" w:eastAsia="zh-CN" w:bidi="ar-SA"/>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ndnote reference"/>
    <w:semiHidden/>
    <w:unhideWhenUsed/>
    <w:qFormat/>
    <w:uiPriority w:val="99"/>
    <w:rPr>
      <w:vertAlign w:val="superscript"/>
    </w:rPr>
  </w:style>
  <w:style w:type="character" w:styleId="16">
    <w:name w:val="Hyperlink"/>
    <w:unhideWhenUsed/>
    <w:qFormat/>
    <w:uiPriority w:val="99"/>
    <w:rPr>
      <w:color w:val="0563C1"/>
      <w:u w:val="single"/>
    </w:rPr>
  </w:style>
  <w:style w:type="character" w:styleId="17">
    <w:name w:val="footnote reference"/>
    <w:semiHidden/>
    <w:unhideWhenUsed/>
    <w:qFormat/>
    <w:uiPriority w:val="99"/>
    <w:rPr>
      <w:vertAlign w:val="superscript"/>
    </w:rPr>
  </w:style>
  <w:style w:type="paragraph" w:customStyle="1" w:styleId="18">
    <w:name w:val="要点1"/>
    <w:qFormat/>
    <w:uiPriority w:val="0"/>
    <w:rPr>
      <w:rFonts w:ascii="Arial" w:hAnsi="Arial" w:cs="Times New Roman" w:eastAsiaTheme="minorEastAsia"/>
      <w:b/>
      <w:bCs/>
      <w:sz w:val="24"/>
      <w:szCs w:val="24"/>
      <w:lang w:val="en-US" w:eastAsia="zh-CN" w:bidi="ar-SA"/>
    </w:rPr>
  </w:style>
  <w:style w:type="paragraph" w:styleId="19">
    <w:name w:val="List Paragraph"/>
    <w:qFormat/>
    <w:uiPriority w:val="0"/>
    <w:rPr>
      <w:rFonts w:ascii="Arial" w:hAnsi="Arial" w:cs="Times New Roman" w:eastAsiaTheme="minorEastAsia"/>
      <w:sz w:val="24"/>
      <w:szCs w:val="24"/>
      <w:lang w:val="en-US" w:eastAsia="zh-CN" w:bidi="ar-SA"/>
    </w:rPr>
  </w:style>
  <w:style w:type="character" w:customStyle="1" w:styleId="20">
    <w:name w:val="脚注文本 字符"/>
    <w:link w:val="10"/>
    <w:semiHidden/>
    <w:unhideWhenUsed/>
    <w:qFormat/>
    <w:uiPriority w:val="99"/>
    <w:rPr>
      <w:sz w:val="20"/>
      <w:szCs w:val="20"/>
    </w:rPr>
  </w:style>
  <w:style w:type="character" w:customStyle="1" w:styleId="21">
    <w:name w:val="尾注文本 字符"/>
    <w:link w:val="9"/>
    <w:semiHidden/>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562</Words>
  <Characters>596</Characters>
  <Lines>73</Lines>
  <Paragraphs>20</Paragraphs>
  <TotalTime>20</TotalTime>
  <ScaleCrop>false</ScaleCrop>
  <LinksUpToDate>false</LinksUpToDate>
  <CharactersWithSpaces>603</CharactersWithSpaces>
  <Application>WPS Office_11.8.2.12307_F1E327BC-269C-435d-A152-05C5408002CA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2026-07-03T02:09:00Z</dcterms:created>
  <dc:creator>Un-named</dc:creator>
  <cp:lastModifiedBy>夏振山</cp:lastModifiedBy>
  <cp:lastPrinted>2026-08-17T06:06:00Z</cp:lastPrinted>
  <dcterms:modified xsi:type="dcterms:W3CDTF">2026-08-24T05:30:50Z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2052-11.8.2.12307</vt:lpwstr>
  </property>
  <property fmtid="{D5CDD505-2E9C-101B-9397-08002B2CF9AE}" pid="3" name="ICV">
    <vt:lpwstr>514DFC62FB154B22B55CEFCBCCD2672E_13</vt:lpwstr>
  </property>
  <property fmtid="{D5CDD505-2E9C-101B-9397-08002B2CF9AE}" pid="4" name="KSOTemplateDocerSaveRecord">
    <vt:lpwstr>eyJoZGlkIjoiMmVjMzQ2NGMxMzJjMGU5MTA4YzY1ZjNiZTI3MmQ2ZGEiLCJ1c2VySWQiOiIzNjA5MjEyNDUifQ==</vt:lpwstr>
  </property>
</Properties>
</file>