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default"/>
          <w:sz w:val="2"/>
          <w:szCs w:val="24"/>
        </w:rPr>
      </w:pPr>
    </w:p>
    <w:p>
      <w:pPr>
        <w:rPr>
          <w:rFonts w:hint="default"/>
          <w:sz w:val="2"/>
          <w:szCs w:val="24"/>
        </w:rPr>
      </w:pPr>
    </w:p>
    <w:p>
      <w:pPr>
        <w:rPr>
          <w:rFonts w:hint="default"/>
          <w:sz w:val="2"/>
          <w:szCs w:val="24"/>
        </w:rPr>
      </w:pPr>
    </w:p>
    <w:p>
      <w:pPr>
        <w:rPr>
          <w:rFonts w:hint="default"/>
          <w:sz w:val="2"/>
          <w:szCs w:val="24"/>
        </w:rPr>
      </w:pPr>
    </w:p>
    <w:p>
      <w:pPr>
        <w:rPr>
          <w:rFonts w:hint="default"/>
          <w:sz w:val="22"/>
          <w:szCs w:val="24"/>
          <w:lang w:val="en-US" w:eastAsia="zh-CN"/>
        </w:rPr>
      </w:pPr>
      <w:r>
        <w:rPr>
          <w:rFonts w:hint="eastAsia"/>
          <w:sz w:val="22"/>
          <w:szCs w:val="24"/>
          <w:lang w:val="en-US" w:eastAsia="zh-CN"/>
        </w:rPr>
        <w:t>附件3</w:t>
      </w:r>
    </w:p>
    <w:p>
      <w:pPr>
        <w:rPr>
          <w:rFonts w:hint="default"/>
          <w:sz w:val="2"/>
          <w:szCs w:val="24"/>
        </w:rPr>
      </w:pPr>
    </w:p>
    <w:p>
      <w:pPr>
        <w:rPr>
          <w:rFonts w:hint="default"/>
          <w:sz w:val="2"/>
          <w:szCs w:val="24"/>
        </w:rPr>
      </w:pPr>
    </w:p>
    <w:p>
      <w:pPr>
        <w:rPr>
          <w:rFonts w:hint="default"/>
          <w:sz w:val="2"/>
          <w:szCs w:val="24"/>
        </w:rPr>
      </w:pPr>
    </w:p>
    <w:tbl>
      <w:tblPr>
        <w:tblStyle w:val="5"/>
        <w:tblW w:w="971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
        <w:gridCol w:w="29"/>
        <w:gridCol w:w="763"/>
        <w:gridCol w:w="29"/>
        <w:gridCol w:w="241"/>
        <w:gridCol w:w="14"/>
        <w:gridCol w:w="793"/>
        <w:gridCol w:w="271"/>
        <w:gridCol w:w="14"/>
        <w:gridCol w:w="652"/>
        <w:gridCol w:w="141"/>
        <w:gridCol w:w="271"/>
        <w:gridCol w:w="457"/>
        <w:gridCol w:w="351"/>
        <w:gridCol w:w="271"/>
        <w:gridCol w:w="365"/>
        <w:gridCol w:w="442"/>
        <w:gridCol w:w="271"/>
        <w:gridCol w:w="245"/>
        <w:gridCol w:w="562"/>
        <w:gridCol w:w="117"/>
        <w:gridCol w:w="153"/>
        <w:gridCol w:w="526"/>
        <w:gridCol w:w="282"/>
        <w:gridCol w:w="271"/>
        <w:gridCol w:w="126"/>
        <w:gridCol w:w="680"/>
        <w:gridCol w:w="272"/>
        <w:gridCol w:w="13"/>
        <w:gridCol w:w="393"/>
        <w:gridCol w:w="672"/>
        <w:gridCol w:w="2"/>
        <w:gridCol w:w="5"/>
        <w:gridCol w:w="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9701" w:type="dxa"/>
            <w:gridSpan w:val="31"/>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420" w:lineRule="exact"/>
              <w:ind w:left="20"/>
              <w:jc w:val="center"/>
              <w:rPr>
                <w:rFonts w:hint="eastAsia" w:ascii="Dialog" w:hAnsi="Dialog"/>
                <w:sz w:val="30"/>
                <w:szCs w:val="24"/>
              </w:rPr>
            </w:pPr>
            <w:r>
              <w:rPr>
                <w:rFonts w:hint="eastAsia" w:ascii="Dialog" w:hAnsi="Dialog"/>
                <w:sz w:val="30"/>
                <w:szCs w:val="24"/>
              </w:rPr>
              <w:t>物品/服务买卖合同</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出卖人：</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买受人：</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出卖人合同编号： </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合同号：</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版本号：</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签订时间：</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签订地点：</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合同截止日期：</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合同有效起始日期：</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6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5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5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5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6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1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5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8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80"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出卖人（盖章）：</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买受人（盖章）：</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法定代表人：</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lang w:eastAsia="zh-CN"/>
              </w:rPr>
            </w:pPr>
            <w:r>
              <w:rPr>
                <w:rFonts w:hint="eastAsia" w:ascii="Dialog" w:hAnsi="Dialog"/>
                <w:sz w:val="18"/>
                <w:szCs w:val="24"/>
              </w:rPr>
              <w:t>法定代表人：王</w:t>
            </w:r>
            <w:r>
              <w:rPr>
                <w:rFonts w:hint="eastAsia" w:ascii="Dialog" w:hAnsi="Dialog"/>
                <w:sz w:val="18"/>
                <w:szCs w:val="24"/>
                <w:lang w:val="en-US" w:eastAsia="zh-CN"/>
              </w:rPr>
              <w:t>军</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委托代理人：</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委托代理人：</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业务联系人：</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业务联系人：</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业务电话： </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业务电话：6734874</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电子邮箱： </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电子邮箱: </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传真电话： </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传真电话：6734874</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联系地址： </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联系地址：鞍山</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 xml:space="preserve">邮政编码： </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邮政编码：114000</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开户行：</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开户行：工行鞍钢支行</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银行账号：</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银行账号:0704024009221032667</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4311" w:type="dxa"/>
            <w:gridSpan w:val="15"/>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税务登记号：</w:t>
            </w: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312" w:type="dxa"/>
            <w:gridSpan w:val="13"/>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税务登记号：912100002426694799</w:t>
            </w: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6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5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5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5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6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1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5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8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80"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第一条</w:t>
            </w:r>
          </w:p>
        </w:tc>
        <w:tc>
          <w:tcPr>
            <w:tcW w:w="8897" w:type="dxa"/>
            <w:gridSpan w:val="29"/>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标的、数量、价格及交（提）货时间：</w:t>
            </w: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7"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076" w:type="dxa"/>
            <w:gridSpan w:val="5"/>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jc w:val="center"/>
              <w:rPr>
                <w:rFonts w:hint="eastAsia" w:ascii="Dialog" w:hAnsi="Dialog"/>
                <w:sz w:val="18"/>
                <w:szCs w:val="24"/>
              </w:rPr>
            </w:pPr>
            <w:r>
              <w:rPr>
                <w:rFonts w:hint="eastAsia" w:ascii="Dialog" w:hAnsi="Dialog"/>
                <w:sz w:val="18"/>
                <w:szCs w:val="24"/>
              </w:rPr>
              <w:t>标的名称</w:t>
            </w:r>
          </w:p>
        </w:tc>
        <w:tc>
          <w:tcPr>
            <w:tcW w:w="1078"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jc w:val="center"/>
              <w:rPr>
                <w:rFonts w:hint="eastAsia" w:ascii="Dialog" w:hAnsi="Dialog"/>
                <w:sz w:val="18"/>
                <w:szCs w:val="24"/>
              </w:rPr>
            </w:pPr>
            <w:r>
              <w:rPr>
                <w:rFonts w:hint="eastAsia" w:ascii="Dialog" w:hAnsi="Dialog"/>
                <w:sz w:val="18"/>
                <w:szCs w:val="24"/>
              </w:rPr>
              <w:t>规格型号</w:t>
            </w:r>
          </w:p>
        </w:tc>
        <w:tc>
          <w:tcPr>
            <w:tcW w:w="652" w:type="dxa"/>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jc w:val="center"/>
              <w:rPr>
                <w:rFonts w:hint="eastAsia" w:ascii="Dialog" w:hAnsi="Dialog"/>
                <w:sz w:val="18"/>
                <w:szCs w:val="24"/>
              </w:rPr>
            </w:pPr>
            <w:r>
              <w:rPr>
                <w:rFonts w:hint="eastAsia" w:ascii="Dialog" w:hAnsi="Dialog"/>
                <w:sz w:val="18"/>
                <w:szCs w:val="24"/>
              </w:rPr>
              <w:t>计量</w:t>
            </w:r>
          </w:p>
        </w:tc>
        <w:tc>
          <w:tcPr>
            <w:tcW w:w="869"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jc w:val="center"/>
              <w:rPr>
                <w:rFonts w:hint="eastAsia" w:ascii="Dialog" w:hAnsi="Dialog"/>
                <w:sz w:val="18"/>
                <w:szCs w:val="24"/>
              </w:rPr>
            </w:pPr>
            <w:r>
              <w:rPr>
                <w:rFonts w:hint="eastAsia" w:ascii="Dialog" w:hAnsi="Dialog"/>
                <w:sz w:val="18"/>
                <w:szCs w:val="24"/>
              </w:rPr>
              <w:t>数量</w:t>
            </w:r>
          </w:p>
        </w:tc>
        <w:tc>
          <w:tcPr>
            <w:tcW w:w="987"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单价（元/计量单位）</w:t>
            </w:r>
          </w:p>
        </w:tc>
        <w:tc>
          <w:tcPr>
            <w:tcW w:w="958"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jc w:val="center"/>
              <w:rPr>
                <w:rFonts w:hint="eastAsia" w:ascii="Dialog" w:hAnsi="Dialog"/>
                <w:sz w:val="18"/>
                <w:szCs w:val="24"/>
              </w:rPr>
            </w:pPr>
            <w:r>
              <w:rPr>
                <w:rFonts w:hint="eastAsia" w:ascii="Dialog" w:hAnsi="Dialog"/>
                <w:sz w:val="18"/>
                <w:szCs w:val="24"/>
              </w:rPr>
              <w:t>总金额(元)</w:t>
            </w:r>
          </w:p>
        </w:tc>
        <w:tc>
          <w:tcPr>
            <w:tcW w:w="4074" w:type="dxa"/>
            <w:gridSpan w:val="14"/>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jc w:val="center"/>
              <w:rPr>
                <w:rFonts w:hint="eastAsia" w:ascii="Dialog" w:hAnsi="Dialog"/>
                <w:sz w:val="18"/>
                <w:szCs w:val="24"/>
              </w:rPr>
            </w:pPr>
            <w:r>
              <w:rPr>
                <w:rFonts w:hint="eastAsia" w:ascii="Dialog" w:hAnsi="Dialog"/>
                <w:sz w:val="18"/>
                <w:szCs w:val="24"/>
              </w:rPr>
              <w:t>交（提）货时间及数量</w:t>
            </w: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076" w:type="dxa"/>
            <w:gridSpan w:val="5"/>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1078"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52" w:type="dxa"/>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869"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87"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58"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1/7月</w:t>
            </w:r>
          </w:p>
        </w:tc>
        <w:tc>
          <w:tcPr>
            <w:tcW w:w="679"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2/8月</w:t>
            </w:r>
          </w:p>
        </w:tc>
        <w:tc>
          <w:tcPr>
            <w:tcW w:w="67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3/9月</w:t>
            </w:r>
          </w:p>
        </w:tc>
        <w:tc>
          <w:tcPr>
            <w:tcW w:w="680" w:type="dxa"/>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4/10月</w:t>
            </w:r>
          </w:p>
        </w:tc>
        <w:tc>
          <w:tcPr>
            <w:tcW w:w="678"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5/11月</w:t>
            </w:r>
          </w:p>
        </w:tc>
        <w:tc>
          <w:tcPr>
            <w:tcW w:w="67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6/12月</w:t>
            </w: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076" w:type="dxa"/>
            <w:gridSpan w:val="5"/>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25" w:lineRule="exact"/>
              <w:ind w:left="20"/>
              <w:rPr>
                <w:rFonts w:hint="eastAsia" w:ascii="Dialog" w:hAnsi="Dialog"/>
                <w:sz w:val="16"/>
                <w:szCs w:val="24"/>
              </w:rPr>
            </w:pPr>
            <w:r>
              <w:rPr>
                <w:rFonts w:hint="eastAsia" w:ascii="Dialog" w:hAnsi="Dialog"/>
                <w:sz w:val="16"/>
                <w:szCs w:val="24"/>
              </w:rPr>
              <w:t>（详见附页）</w:t>
            </w:r>
          </w:p>
        </w:tc>
        <w:tc>
          <w:tcPr>
            <w:tcW w:w="1078"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52" w:type="dxa"/>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869"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87"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58" w:type="dxa"/>
            <w:gridSpan w:val="3"/>
            <w:vMerge w:val="restart"/>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80" w:type="dxa"/>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8"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076" w:type="dxa"/>
            <w:gridSpan w:val="5"/>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1078"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52" w:type="dxa"/>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869"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87"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58" w:type="dxa"/>
            <w:gridSpan w:val="3"/>
            <w:vMerge w:val="continue"/>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2"/>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80" w:type="dxa"/>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8"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7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076" w:type="dxa"/>
            <w:gridSpan w:val="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合计</w:t>
            </w:r>
          </w:p>
        </w:tc>
        <w:tc>
          <w:tcPr>
            <w:tcW w:w="1078"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652" w:type="dxa"/>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869"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987" w:type="dxa"/>
            <w:gridSpan w:val="3"/>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rPr>
                <w:rFonts w:hint="default"/>
                <w:sz w:val="24"/>
                <w:szCs w:val="24"/>
              </w:rPr>
            </w:pPr>
          </w:p>
        </w:tc>
        <w:tc>
          <w:tcPr>
            <w:tcW w:w="5032" w:type="dxa"/>
            <w:gridSpan w:val="17"/>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right="20"/>
              <w:jc w:val="right"/>
              <w:rPr>
                <w:rFonts w:hint="eastAsia" w:ascii="Dialog" w:hAnsi="Dialog"/>
                <w:sz w:val="18"/>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662" w:type="dxa"/>
            <w:gridSpan w:val="15"/>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合计人民币金额（大写）：</w:t>
            </w:r>
          </w:p>
        </w:tc>
        <w:tc>
          <w:tcPr>
            <w:tcW w:w="5032" w:type="dxa"/>
            <w:gridSpan w:val="17"/>
            <w:tcBorders>
              <w:top w:val="single" w:color="000000" w:sz="8" w:space="0"/>
              <w:left w:val="single" w:color="000000" w:sz="8" w:space="0"/>
              <w:bottom w:val="single" w:color="000000" w:sz="8" w:space="0"/>
              <w:right w:val="single" w:color="000000" w:sz="8" w:space="0"/>
              <w:tl2br w:val="nil"/>
              <w:tr2bl w:val="nil"/>
            </w:tcBorders>
            <w:shd w:val="clear" w:color="auto" w:fill="FFFFFF"/>
            <w:noWrap w:val="0"/>
            <w:vAlign w:val="center"/>
          </w:tcPr>
          <w:p>
            <w:pPr>
              <w:spacing w:line="255" w:lineRule="exact"/>
              <w:ind w:left="20"/>
              <w:rPr>
                <w:rFonts w:hint="eastAsia" w:ascii="Dialog" w:hAnsi="Dialog"/>
                <w:sz w:val="18"/>
                <w:szCs w:val="24"/>
              </w:rPr>
            </w:pPr>
            <w:r>
              <w:rPr>
                <w:rFonts w:hint="eastAsia" w:ascii="Dialog" w:hAnsi="Dialog"/>
                <w:sz w:val="18"/>
                <w:szCs w:val="24"/>
              </w:rPr>
              <w:t>不含税包干价（一票制）  税率:13%</w:t>
            </w: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6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5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5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5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6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1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5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8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80"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9"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第二条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质量标准：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50"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第三条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出卖人对质量负责的条件及期限：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9"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第四条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包装标准、包装物的供应与回收：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8"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第五条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lang w:val="en-US" w:eastAsia="zh-CN"/>
              </w:rPr>
            </w:pPr>
            <w:r>
              <w:rPr>
                <w:rFonts w:hint="eastAsia" w:ascii="Dialog" w:hAnsi="Dialog"/>
                <w:sz w:val="18"/>
                <w:szCs w:val="24"/>
              </w:rPr>
              <w:t>合理损耗标准及计算方法：</w:t>
            </w:r>
            <w:r>
              <w:rPr>
                <w:rFonts w:hint="eastAsia" w:ascii="Dialog" w:hAnsi="Dialog"/>
                <w:sz w:val="18"/>
                <w:szCs w:val="24"/>
                <w:lang w:val="en-US" w:eastAsia="zh-CN"/>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第六条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交（提）货地点、方式：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第七条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运输方式及到达站（港）和费用承担：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0"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第八条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cs="Times New Roman"/>
                <w:sz w:val="18"/>
                <w:szCs w:val="24"/>
              </w:rPr>
            </w:pPr>
            <w:r>
              <w:rPr>
                <w:rFonts w:hint="eastAsia" w:ascii="Dialog" w:hAnsi="Dialog"/>
                <w:sz w:val="18"/>
                <w:szCs w:val="24"/>
              </w:rPr>
              <w:t xml:space="preserve">检验标准、方法、地点及期限： </w:t>
            </w:r>
            <w:r>
              <w:rPr>
                <w:rFonts w:hint="eastAsia" w:ascii="Dialog" w:hAnsi="Dialog" w:cs="Times New Roman"/>
                <w:sz w:val="18"/>
                <w:szCs w:val="24"/>
              </w:rPr>
              <w:t>计量、质量以买受人为准，计量验收扣除包装物重量，按买受人出据的有效计量单、质量检验证明书做为结算依据。由买受人按相应的化检验标准和质量标准（技术条件）中要求的元素及指标进行化验，不考虑化验误差。重量误差超过千分之三的视为异议，双方协商解决。</w:t>
            </w:r>
          </w:p>
          <w:p>
            <w:pPr>
              <w:spacing w:line="335" w:lineRule="exact"/>
              <w:ind w:left="20"/>
              <w:rPr>
                <w:rFonts w:hint="eastAsia" w:ascii="Dialog" w:hAnsi="Dialog"/>
                <w:sz w:val="18"/>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9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第九条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结算方式、时间及地点： </w:t>
            </w:r>
            <w:r>
              <w:rPr>
                <w:rFonts w:hint="eastAsia" w:ascii="Dialog" w:hAnsi="Dialog" w:cs="Times New Roman"/>
                <w:sz w:val="18"/>
                <w:szCs w:val="24"/>
              </w:rPr>
              <w:t>用增值税发票一票</w:t>
            </w:r>
            <w:r>
              <w:rPr>
                <w:rFonts w:hint="eastAsia" w:ascii="Dialog" w:hAnsi="Dialog" w:cs="Times New Roman"/>
                <w:sz w:val="18"/>
                <w:szCs w:val="24"/>
                <w:lang w:val="en-US" w:eastAsia="zh-CN"/>
              </w:rPr>
              <w:t>序时</w:t>
            </w:r>
            <w:r>
              <w:rPr>
                <w:rFonts w:hint="eastAsia" w:ascii="Dialog" w:hAnsi="Dialog" w:cs="Times New Roman"/>
                <w:sz w:val="18"/>
                <w:szCs w:val="24"/>
              </w:rPr>
              <w:t>结算(火车运输的带铁路运票复印件），</w:t>
            </w:r>
            <w:r>
              <w:rPr>
                <w:rFonts w:hint="eastAsia" w:ascii="Dialog" w:hAnsi="Dialog" w:cs="Times New Roman"/>
                <w:sz w:val="18"/>
                <w:szCs w:val="24"/>
                <w:lang w:val="zh-CN" w:eastAsia="zh-CN"/>
              </w:rPr>
              <w:t>如税率发生调整，按国家现行税率执行</w:t>
            </w:r>
            <w:r>
              <w:rPr>
                <w:rFonts w:hint="eastAsia" w:ascii="Dialog" w:hAnsi="Dialog" w:cs="Times New Roman"/>
                <w:sz w:val="18"/>
                <w:szCs w:val="24"/>
                <w:lang w:val="en-US" w:eastAsia="zh-CN"/>
              </w:rPr>
              <w:t>。</w:t>
            </w:r>
            <w:r>
              <w:rPr>
                <w:rFonts w:hint="eastAsia" w:ascii="Dialog" w:hAnsi="Dialog" w:cs="Times New Roman"/>
                <w:sz w:val="18"/>
                <w:szCs w:val="24"/>
              </w:rPr>
              <w:t>结算价格</w:t>
            </w:r>
            <w:r>
              <w:rPr>
                <w:rFonts w:hint="eastAsia" w:ascii="Dialog" w:hAnsi="Dialog" w:cs="Times New Roman"/>
                <w:sz w:val="18"/>
                <w:szCs w:val="24"/>
                <w:lang w:eastAsia="zh-CN"/>
              </w:rPr>
              <w:t>以</w:t>
            </w:r>
            <w:r>
              <w:rPr>
                <w:rFonts w:hint="eastAsia" w:ascii="Dialog" w:hAnsi="Dialog" w:cs="Times New Roman"/>
                <w:sz w:val="18"/>
                <w:szCs w:val="24"/>
              </w:rPr>
              <w:t>汽车到货日期或火车发出日期的合同（协议）价格</w:t>
            </w:r>
            <w:r>
              <w:rPr>
                <w:rFonts w:hint="eastAsia" w:ascii="Dialog" w:hAnsi="Dialog" w:cs="Times New Roman"/>
                <w:sz w:val="18"/>
                <w:szCs w:val="24"/>
                <w:lang w:eastAsia="zh-CN"/>
              </w:rPr>
              <w:t>为准。</w:t>
            </w:r>
            <w:r>
              <w:rPr>
                <w:rFonts w:hint="eastAsia" w:ascii="Dialog" w:hAnsi="Dialog" w:cs="Times New Roman"/>
                <w:sz w:val="18"/>
                <w:szCs w:val="24"/>
              </w:rPr>
              <w:t>货物到达验收合格后，挂账月起第二个月付承兑</w:t>
            </w:r>
            <w:r>
              <w:rPr>
                <w:rFonts w:hint="eastAsia" w:ascii="Dialog" w:hAnsi="Dialog" w:cs="Times New Roman"/>
                <w:sz w:val="18"/>
                <w:szCs w:val="24"/>
                <w:lang w:val="en-US" w:eastAsia="zh-CN"/>
              </w:rPr>
              <w:t>或现汇</w:t>
            </w:r>
            <w:r>
              <w:rPr>
                <w:rFonts w:hint="eastAsia" w:ascii="Dialog" w:hAnsi="Dialog" w:cs="Times New Roman"/>
                <w:sz w:val="18"/>
                <w:szCs w:val="24"/>
              </w:rPr>
              <w:t>,如付款环境发生重大变化，双方可签订变更协议，改变付款方式及期限等。原则上按月均衡交货，买受人可以根据市场情况和实际生产需求调整采购价格、数量和交货期限，后期采购价格和数量如有调整以合同补充协议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2"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第十条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违约责任：</w:t>
            </w:r>
            <w:r>
              <w:rPr>
                <w:rFonts w:hint="eastAsia" w:ascii="Dialog" w:hAnsi="Dialog" w:cs="Times New Roman"/>
                <w:sz w:val="18"/>
                <w:szCs w:val="24"/>
              </w:rPr>
              <w:t>1、当事人一方不履行或不能全部履行合同约定，应当赔偿另一方损失并承担违约责任。2、当事人一方因不可抗力不能履行合同的，应当及时通知对方，根据不可抗力的影响，部分或者全部免除责任，但法律另有规定的除外。3、如到达的产品质量不符合合同要求，买受人有权退货（或扣款）和单方终止合同，由此所发生的一切费用和造成的经济损失均由出卖人承担。4、所交付的产品须是本厂生产的产品，否则取消合格供方资格、终止合同。5、</w:t>
            </w:r>
            <w:r>
              <w:rPr>
                <w:rFonts w:hint="eastAsia" w:ascii="Dialog" w:hAnsi="Dialog" w:cs="Times New Roman"/>
                <w:sz w:val="18"/>
                <w:szCs w:val="24"/>
                <w:lang w:val="zh-CN"/>
              </w:rPr>
              <w:t>在合同签订前后或履行过程中，如出卖人存在贿赂收买买受人相关人员，采取不正当竞争手段或实施商业欺诈行为以及其他违法行为以谋取不正当利益的，买受人有权单方立即解除合同，取消出卖人的合作方资格并终止与其的任何业务往来，同时有权要求出卖人向买受人支付合同报酬总额20%的违约金。违约金不足以弥补买受人因此遭受的损失的，出卖人还应赔偿买受人因此遭受的损失。</w:t>
            </w:r>
          </w:p>
          <w:p>
            <w:pPr>
              <w:spacing w:line="335" w:lineRule="exact"/>
              <w:rPr>
                <w:rFonts w:hint="eastAsia" w:ascii="Dialog" w:hAnsi="Dialog"/>
                <w:sz w:val="18"/>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9"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第十一条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合同争议的解决方式：协商、诉讼。当事人双方在本合同履行过程中发生的争议，应友好协商解决，协商不成的，应向合同签订地有管辖权的人民法院起诉。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9"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第十二条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本合同自合同签订之日起生效：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63"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2" w:type="dxa"/>
            <w:gridSpan w:val="2"/>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第十三条</w:t>
            </w:r>
          </w:p>
        </w:tc>
        <w:tc>
          <w:tcPr>
            <w:tcW w:w="8879" w:type="dxa"/>
            <w:gridSpan w:val="30"/>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top"/>
          </w:tcPr>
          <w:p>
            <w:pPr>
              <w:spacing w:line="335" w:lineRule="exact"/>
              <w:ind w:left="20"/>
              <w:rPr>
                <w:rFonts w:hint="eastAsia" w:ascii="Dialog" w:hAnsi="Dialog"/>
                <w:sz w:val="18"/>
                <w:szCs w:val="24"/>
              </w:rPr>
            </w:pPr>
            <w:r>
              <w:rPr>
                <w:rFonts w:hint="eastAsia" w:ascii="Dialog" w:hAnsi="Dialog"/>
                <w:sz w:val="18"/>
                <w:szCs w:val="24"/>
              </w:rPr>
              <w:t xml:space="preserve">其他约定事项： </w:t>
            </w:r>
            <w:r>
              <w:rPr>
                <w:rFonts w:hint="eastAsia" w:ascii="Dialog" w:hAnsi="Dialog" w:cs="Times New Roman"/>
                <w:sz w:val="18"/>
                <w:szCs w:val="24"/>
              </w:rPr>
              <w:t>1、出卖人发货时电告买受人车号、数量、成份和发货时间，同时每车（批）需出据生产单位产品质量证明书或化检验报告单（可随车携带、也可传真）。</w:t>
            </w:r>
            <w:bookmarkStart w:id="0" w:name="_GoBack"/>
            <w:bookmarkEnd w:id="0"/>
            <w:r>
              <w:rPr>
                <w:rFonts w:hint="eastAsia" w:ascii="Dialog" w:hAnsi="Dialog" w:cs="Times New Roman"/>
                <w:sz w:val="18"/>
                <w:szCs w:val="24"/>
              </w:rPr>
              <w:t>2、按合同金额的</w:t>
            </w:r>
            <w:r>
              <w:rPr>
                <w:rFonts w:hint="eastAsia" w:ascii="Dialog" w:hAnsi="Dialog" w:cs="Times New Roman"/>
                <w:sz w:val="18"/>
                <w:szCs w:val="24"/>
                <w:lang w:val="en-US" w:eastAsia="zh-CN"/>
              </w:rPr>
              <w:t>5</w:t>
            </w:r>
            <w:r>
              <w:rPr>
                <w:rFonts w:hint="eastAsia" w:ascii="Dialog" w:hAnsi="Dialog" w:cs="Times New Roman"/>
                <w:sz w:val="18"/>
                <w:szCs w:val="24"/>
              </w:rPr>
              <w:t>%收取合同履约保证金</w:t>
            </w:r>
            <w:r>
              <w:rPr>
                <w:rFonts w:hint="eastAsia" w:ascii="Dialog" w:hAnsi="Dialog" w:cs="Times New Roman"/>
                <w:sz w:val="18"/>
                <w:szCs w:val="24"/>
                <w:lang w:val="en-US" w:eastAsia="zh-CN"/>
              </w:rPr>
              <w:t>XX</w:t>
            </w:r>
            <w:r>
              <w:rPr>
                <w:rFonts w:hint="eastAsia" w:ascii="Dialog" w:hAnsi="Dialog" w:cs="Times New Roman"/>
                <w:sz w:val="18"/>
                <w:szCs w:val="24"/>
              </w:rPr>
              <w:t>万元。合同履约保证金协议条款：（1）如出卖人未按合同约定标准交货并给买受人生产造成影响及经济损失，则扣留出卖人相应的直至全部合同履约保证金（买受人原因或不可抗力原因除外）；在合同有效期内，出卖人累计合同执行率完成90一110%即为履约，否则视为未履约（买受人原因或不可抗力的原因除外），</w:t>
            </w:r>
            <w:r>
              <w:rPr>
                <w:rFonts w:hint="eastAsia" w:ascii="Dialog" w:hAnsi="Dialog" w:cs="Times New Roman"/>
                <w:sz w:val="18"/>
                <w:szCs w:val="24"/>
                <w:lang w:eastAsia="zh-CN"/>
              </w:rPr>
              <w:t>未履约部分按比例扣留</w:t>
            </w:r>
            <w:r>
              <w:rPr>
                <w:rFonts w:hint="eastAsia" w:ascii="Dialog" w:hAnsi="Dialog" w:cs="Times New Roman"/>
                <w:sz w:val="18"/>
                <w:szCs w:val="24"/>
              </w:rPr>
              <w:t>合同履约保证金</w:t>
            </w:r>
            <w:r>
              <w:rPr>
                <w:rFonts w:hint="eastAsia" w:ascii="Dialog" w:hAnsi="Dialog" w:cs="Times New Roman"/>
                <w:sz w:val="18"/>
                <w:szCs w:val="24"/>
                <w:lang w:val="en-US" w:eastAsia="zh-CN"/>
              </w:rPr>
              <w:t>。</w:t>
            </w:r>
            <w:r>
              <w:rPr>
                <w:rFonts w:hint="eastAsia" w:ascii="Dialog" w:hAnsi="Dialog" w:cs="Times New Roman"/>
                <w:sz w:val="18"/>
                <w:szCs w:val="24"/>
              </w:rPr>
              <w:t>如出卖人未按合同约定条款执行，并给买受人生产造成影响及经济损失，按《</w:t>
            </w:r>
            <w:r>
              <w:rPr>
                <w:rFonts w:hint="eastAsia" w:ascii="Dialog" w:hAnsi="Dialog" w:cs="Times New Roman"/>
                <w:sz w:val="18"/>
                <w:szCs w:val="24"/>
                <w:lang w:eastAsia="zh-CN"/>
              </w:rPr>
              <w:t>民法典</w:t>
            </w:r>
            <w:r>
              <w:rPr>
                <w:rFonts w:hint="eastAsia" w:ascii="Dialog" w:hAnsi="Dialog" w:cs="Times New Roman"/>
                <w:sz w:val="18"/>
                <w:szCs w:val="24"/>
              </w:rPr>
              <w:t>》相关条例处理。（2）因出卖人原因终止供货，买受人可全部扣留合同履约保证金</w:t>
            </w:r>
            <w:r>
              <w:rPr>
                <w:rFonts w:hint="eastAsia" w:ascii="Dialog" w:hAnsi="Dialog" w:cs="Times New Roman"/>
                <w:sz w:val="18"/>
                <w:szCs w:val="24"/>
                <w:lang w:val="en-US" w:eastAsia="zh-CN"/>
              </w:rPr>
              <w:t>。</w:t>
            </w:r>
            <w:r>
              <w:rPr>
                <w:rFonts w:hint="eastAsia" w:ascii="Dialog" w:hAnsi="Dialog" w:cs="Times New Roman"/>
                <w:sz w:val="18"/>
                <w:szCs w:val="24"/>
              </w:rPr>
              <w:t>（3）到达的产品如发生质量弄虚作假恶意欺骗行为，除按第十条第3款处理外，同时买受人可全部扣留合同履约保证金</w:t>
            </w:r>
            <w:r>
              <w:rPr>
                <w:rFonts w:hint="eastAsia" w:ascii="Dialog" w:hAnsi="Dialog" w:cs="Times New Roman"/>
                <w:sz w:val="18"/>
                <w:szCs w:val="24"/>
                <w:lang w:val="en-US" w:eastAsia="zh-CN"/>
              </w:rPr>
              <w:t>。</w:t>
            </w:r>
            <w:r>
              <w:rPr>
                <w:rFonts w:hint="eastAsia" w:ascii="Dialog" w:hAnsi="Dialog" w:cs="Times New Roman"/>
                <w:sz w:val="18"/>
                <w:szCs w:val="24"/>
              </w:rPr>
              <w:t>并取消其合格供方资格。（4）在合同交货期内，出卖人履约完毕后，买受人在合同结束后一个月内返回全部合同履约保证金（不计利息）。3、出卖人遵守我公司环境、职业健康、安全环保方面的管理规定。</w:t>
            </w:r>
            <w:r>
              <w:rPr>
                <w:rFonts w:hint="eastAsia" w:ascii="Dialog" w:hAnsi="Dialog" w:cs="Times New Roman"/>
                <w:sz w:val="18"/>
                <w:szCs w:val="24"/>
                <w:lang w:val="zh-CN"/>
              </w:rPr>
              <w:t>4、如出卖人人员偷盗、损毁买受人财产，按《鞍山钢铁集团有限公司盗窃案件处理实施细则（试行）》（鞍山钢政发〔2020〕15号）的规定对出卖人进行考核，并有权要求出卖人更换上述人员，赔偿买受人因此造成的损失，立即解除合同，取消出卖人合作、中标资格，终止与其发生任何业务往来且不承担任何责任。5、未尽事宜双方协商解决。6、本合同一式四份。</w:t>
            </w:r>
          </w:p>
          <w:p>
            <w:pPr>
              <w:spacing w:line="335" w:lineRule="exact"/>
              <w:ind w:left="20"/>
              <w:rPr>
                <w:rFonts w:hint="eastAsia" w:ascii="Dialog" w:hAnsi="Dialog"/>
                <w:sz w:val="18"/>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17" w:hRule="atLeast"/>
        </w:trPr>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6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9"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7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5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4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5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5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6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44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4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6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17"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5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8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1"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2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80"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1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393"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7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2"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5"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c>
          <w:tcPr>
            <w:tcW w:w="6" w:type="dxa"/>
            <w:tcBorders>
              <w:top w:val="single" w:color="FFFFFF" w:sz="4" w:space="0"/>
              <w:left w:val="single" w:color="FFFFFF" w:sz="4" w:space="0"/>
              <w:bottom w:val="single" w:color="FFFFFF" w:sz="4" w:space="0"/>
              <w:right w:val="single" w:color="FFFFFF" w:sz="4" w:space="0"/>
              <w:tl2br w:val="nil"/>
              <w:tr2bl w:val="nil"/>
            </w:tcBorders>
            <w:shd w:val="clear" w:color="auto" w:fill="FFFFFF"/>
            <w:noWrap w:val="0"/>
            <w:vAlign w:val="center"/>
          </w:tcPr>
          <w:p>
            <w:pPr>
              <w:rPr>
                <w:rFonts w:hint="default"/>
                <w:sz w:val="24"/>
                <w:szCs w:val="24"/>
              </w:rPr>
            </w:pPr>
          </w:p>
        </w:tc>
      </w:tr>
    </w:tbl>
    <w:p>
      <w:pPr>
        <w:rPr>
          <w:rFonts w:hint="default"/>
          <w:sz w:val="24"/>
          <w:szCs w:val="24"/>
        </w:rPr>
      </w:pPr>
    </w:p>
    <w:sectPr>
      <w:footerReference r:id="rId3" w:type="first"/>
      <w:pgSz w:w="11905" w:h="16837"/>
      <w:pgMar w:top="388" w:right="1080" w:bottom="388" w:left="1080" w:header="720" w:footer="720" w:gutter="0"/>
      <w:lnNumType w:countBy="0" w:distance="360"/>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ialog">
    <w:altName w:val="Times New Roman"/>
    <w:panose1 w:val="00000000000000000000"/>
    <w:charset w:val="86"/>
    <w:family w:val="roma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10524"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508"/>
      <w:gridCol w:w="3508"/>
      <w:gridCol w:w="350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jc w:val="center"/>
      </w:trPr>
      <w:tc>
        <w:tcPr>
          <w:tcW w:w="3508" w:type="dxa"/>
          <w:tcBorders>
            <w:top w:val="nil"/>
            <w:left w:val="nil"/>
            <w:bottom w:val="nil"/>
            <w:right w:val="nil"/>
            <w:tl2br w:val="nil"/>
            <w:tr2bl w:val="nil"/>
          </w:tcBorders>
          <w:shd w:val="clear" w:color="auto" w:fill="FFFFFF"/>
          <w:noWrap w:val="0"/>
          <w:vAlign w:val="top"/>
        </w:tcPr>
        <w:p>
          <w:pPr>
            <w:rPr>
              <w:rFonts w:hint="default"/>
              <w:sz w:val="24"/>
              <w:szCs w:val="24"/>
            </w:rPr>
          </w:pPr>
        </w:p>
      </w:tc>
      <w:tc>
        <w:tcPr>
          <w:tcW w:w="3508" w:type="dxa"/>
          <w:tcBorders>
            <w:top w:val="nil"/>
            <w:left w:val="nil"/>
            <w:bottom w:val="nil"/>
            <w:right w:val="nil"/>
            <w:tl2br w:val="nil"/>
            <w:tr2bl w:val="nil"/>
          </w:tcBorders>
          <w:shd w:val="clear" w:color="auto" w:fill="FFFFFF"/>
          <w:noWrap w:val="0"/>
          <w:vAlign w:val="top"/>
        </w:tcPr>
        <w:p>
          <w:pPr>
            <w:rPr>
              <w:rFonts w:hint="default"/>
              <w:sz w:val="24"/>
              <w:szCs w:val="24"/>
            </w:rPr>
          </w:pPr>
        </w:p>
      </w:tc>
      <w:tc>
        <w:tcPr>
          <w:tcW w:w="3508" w:type="dxa"/>
          <w:tcBorders>
            <w:top w:val="nil"/>
            <w:left w:val="nil"/>
            <w:bottom w:val="nil"/>
            <w:right w:val="nil"/>
            <w:tl2br w:val="nil"/>
            <w:tr2bl w:val="nil"/>
          </w:tcBorders>
          <w:shd w:val="clear" w:color="auto" w:fill="FFFFFF"/>
          <w:noWrap w:val="0"/>
          <w:vAlign w:val="top"/>
        </w:tcPr>
        <w:p>
          <w:pPr>
            <w:rPr>
              <w:rFonts w:hint="default"/>
              <w:sz w:val="24"/>
              <w:szCs w:val="24"/>
            </w:rPr>
          </w:pPr>
        </w:p>
      </w:tc>
    </w:tr>
  </w:tbl>
  <w:p>
    <w:pPr>
      <w:rPr>
        <w:rFonts w:hint="default"/>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3"/>
  <w:displayVerticalDrawingGridEvery w:val="3"/>
  <w:doNotUseMarginsForDrawingGridOrigin w:val="1"/>
  <w:drawingGridHorizontalOrigin w:val="1701"/>
  <w:drawingGridVerticalOrigin w:val="1984"/>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61170B16"/>
    <w:rsid w:val="7D411D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semiHidden="0" w:name="Normal"/>
    <w:lsdException w:uiPriority="99" w:semiHidden="0" w:name="heading 1"/>
    <w:lsdException w:uiPriority="99" w:semiHidden="0" w:name="heading 2"/>
    <w:lsdException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99" w:semiHidden="0" w:name="index 1"/>
    <w:lsdException w:qFormat="1" w:unhideWhenUsed="0" w:uiPriority="99" w:semiHidden="0" w:name="index 2"/>
    <w:lsdException w:qFormat="1" w:unhideWhenUsed="0" w:uiPriority="99" w:semiHidden="0" w:name="index 3"/>
    <w:lsdException w:qFormat="1" w:unhideWhenUsed="0" w:uiPriority="99" w:semiHidden="0" w:name="index 4"/>
    <w:lsdException w:qFormat="1" w:unhideWhenUsed="0" w:uiPriority="99" w:semiHidden="0" w:name="index 5"/>
    <w:lsdException w:qFormat="1" w:unhideWhenUsed="0" w:uiPriority="99" w:semiHidden="0" w:name="index 6"/>
    <w:lsdException w:qFormat="1" w:unhideWhenUsed="0" w:uiPriority="99" w:semiHidden="0" w:name="index 7"/>
    <w:lsdException w:qFormat="1" w:unhideWhenUsed="0" w:uiPriority="99" w:semiHidden="0" w:name="index 8"/>
    <w:lsdException w:qFormat="1" w:unhideWhenUsed="0" w:uiPriority="99" w:semiHidden="0"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99" w:semiHidden="0" w:name="index heading"/>
    <w:lsdException w:qFormat="1" w:unhideWhenUsed="0" w:uiPriority="99" w:semiHidden="0" w:name="caption"/>
    <w:lsdException w:qFormat="1" w:unhideWhenUsed="0" w:uiPriority="99" w:semiHidden="0" w:name="table of figures"/>
    <w:lsdException w:qFormat="1" w:unhideWhenUsed="0" w:uiPriority="99" w:semiHidden="0" w:name="envelope address"/>
    <w:lsdException w:qFormat="1" w:unhideWhenUsed="0" w:uiPriority="99" w:semiHidden="0" w:name="envelope return"/>
    <w:lsdException w:qFormat="1" w:unhideWhenUsed="0" w:uiPriority="99" w:semiHidden="0" w:name="footnote reference"/>
    <w:lsdException w:qFormat="1" w:unhideWhenUsed="0" w:uiPriority="99" w:semiHidden="0" w:name="annotation reference"/>
    <w:lsdException w:qFormat="1" w:unhideWhenUsed="0" w:uiPriority="99" w:semiHidden="0" w:name="line number"/>
    <w:lsdException w:qFormat="1" w:unhideWhenUsed="0" w:uiPriority="99" w:semiHidden="0" w:name="page number"/>
    <w:lsdException w:qFormat="1" w:unhideWhenUsed="0" w:uiPriority="99" w:semiHidden="0" w:name="endnote reference"/>
    <w:lsdException w:qFormat="1" w:unhideWhenUsed="0" w:uiPriority="99" w:semiHidden="0" w:name="endnote text"/>
    <w:lsdException w:qFormat="1" w:unhideWhenUsed="0" w:uiPriority="99" w:semiHidden="0" w:name="table of authorities"/>
    <w:lsdException w:qFormat="1" w:unhideWhenUsed="0" w:uiPriority="99" w:semiHidden="0" w:name="macro"/>
    <w:lsdException w:qFormat="1" w:unhideWhenUsed="0" w:uiPriority="99" w:semiHidden="0"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qFormat="1" w:unhideWhenUsed="0" w:uiPriority="99" w:semiHidden="0" w:name="List 3"/>
    <w:lsdException w:qFormat="1" w:unhideWhenUsed="0" w:uiPriority="99" w:semiHidden="0" w:name="List 4"/>
    <w:lsdException w:qFormat="1" w:unhideWhenUsed="0" w:uiPriority="99"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99" w:semiHidden="0" w:name="Title"/>
    <w:lsdException w:qFormat="1" w:unhideWhenUsed="0" w:uiPriority="99" w:semiHidden="0" w:name="Closing"/>
    <w:lsdException w:qFormat="1" w:unhideWhenUsed="0" w:uiPriority="99" w:semiHidden="0" w:name="Signature"/>
    <w:lsdException w:uiPriority="99" w:semiHidden="0"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qFormat="1" w:unhideWhenUsed="0" w:uiPriority="99" w:semiHidden="0" w:name="List Continue 2"/>
    <w:lsdException w:qFormat="1" w:unhideWhenUsed="0" w:uiPriority="99" w:semiHidden="0" w:name="List Continue 3"/>
    <w:lsdException w:qFormat="1" w:unhideWhenUsed="0" w:uiPriority="99" w:semiHidden="0" w:name="List Continue 4"/>
    <w:lsdException w:qFormat="1" w:unhideWhenUsed="0" w:uiPriority="99" w:semiHidden="0" w:name="List Continue 5"/>
    <w:lsdException w:qFormat="1" w:unhideWhenUsed="0" w:uiPriority="99" w:semiHidden="0"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qFormat="1" w:unhideWhenUsed="0" w:uiPriority="99" w:semiHidden="0"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qFormat="1" w:unhideWhenUsed="0" w:uiPriority="99" w:semiHidden="0" w:name="E-mail Signature"/>
    <w:lsdException w:qFormat="1" w:unhideWhenUsed="0" w:uiPriority="99" w:semiHidden="0" w:name="Normal (Web)"/>
    <w:lsdException w:qFormat="1" w:unhideWhenUsed="0" w:uiPriority="99" w:semiHidden="0" w:name="HTML Acronym"/>
    <w:lsdException w:qFormat="1" w:unhideWhenUsed="0" w:uiPriority="99"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nhideWhenUsed="0" w:uiPriority="99" w:semiHidden="0" w:name="Normal Table"/>
    <w:lsdException w:qFormat="1" w:unhideWhenUsed="0" w:uiPriority="99" w:semiHidden="0" w:name="annotation subject"/>
    <w:lsdException w:qFormat="1" w:unhideWhenUsed="0" w:uiPriority="99" w:semiHidden="0" w:name="Table Simple 1"/>
    <w:lsdException w:qFormat="1" w:unhideWhenUsed="0" w:uiPriority="99" w:semiHidden="0"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qFormat="1" w:unhideWhenUsed="0" w:uiPriority="99" w:semiHidden="0" w:name="Table Classic 3"/>
    <w:lsdException w:qFormat="1" w:unhideWhenUsed="0" w:uiPriority="99" w:semiHidden="0" w:name="Table Classic 4"/>
    <w:lsdException w:qFormat="1" w:unhideWhenUsed="0" w:uiPriority="99" w:semiHidden="0" w:name="Table Colorful 1"/>
    <w:lsdException w:qFormat="1" w:unhideWhenUsed="0" w:uiPriority="99" w:semiHidden="0" w:name="Table Colorful 2"/>
    <w:lsdException w:qFormat="1" w:unhideWhenUsed="0" w:uiPriority="99" w:semiHidden="0" w:name="Table Colorful 3"/>
    <w:lsdException w:qFormat="1" w:unhideWhenUsed="0" w:uiPriority="99" w:semiHidden="0" w:name="Table Columns 1"/>
    <w:lsdException w:qFormat="1" w:unhideWhenUsed="0" w:uiPriority="99" w:semiHidden="0" w:name="Table Columns 2"/>
    <w:lsdException w:qFormat="1" w:unhideWhenUsed="0" w:uiPriority="99" w:semiHidden="0" w:name="Table Columns 3"/>
    <w:lsdException w:qFormat="1" w:unhideWhenUsed="0" w:uiPriority="99" w:semiHidden="0" w:name="Table Columns 4"/>
    <w:lsdException w:qFormat="1" w:unhideWhenUsed="0" w:uiPriority="99" w:semiHidden="0" w:name="Table Columns 5"/>
    <w:lsdException w:qFormat="1" w:unhideWhenUsed="0" w:uiPriority="99" w:semiHidden="0" w:name="Table Grid 1"/>
    <w:lsdException w:qFormat="1" w:unhideWhenUsed="0" w:uiPriority="99" w:semiHidden="0" w:name="Table Grid 2"/>
    <w:lsdException w:qFormat="1" w:unhideWhenUsed="0" w:uiPriority="99" w:semiHidden="0" w:name="Table Grid 3"/>
    <w:lsdException w:qFormat="1" w:unhideWhenUsed="0" w:uiPriority="99" w:semiHidden="0" w:name="Table Grid 4"/>
    <w:lsdException w:qFormat="1" w:unhideWhenUsed="0" w:uiPriority="99" w:semiHidden="0" w:name="Table Grid 5"/>
    <w:lsdException w:qFormat="1" w:unhideWhenUsed="0" w:uiPriority="99" w:semiHidden="0" w:name="Table Grid 6"/>
    <w:lsdException w:qFormat="1" w:unhideWhenUsed="0" w:uiPriority="99" w:semiHidden="0" w:name="Table Grid 7"/>
    <w:lsdException w:qFormat="1" w:unhideWhenUsed="0" w:uiPriority="99" w:semiHidden="0" w:name="Table Grid 8"/>
    <w:lsdException w:qFormat="1" w:unhideWhenUsed="0" w:uiPriority="99" w:semiHidden="0" w:name="Table List 1"/>
    <w:lsdException w:qFormat="1" w:unhideWhenUsed="0" w:uiPriority="99" w:semiHidden="0" w:name="Table List 2"/>
    <w:lsdException w:qFormat="1" w:unhideWhenUsed="0" w:uiPriority="99" w:semiHidden="0" w:name="Table List 3"/>
    <w:lsdException w:qFormat="1" w:unhideWhenUsed="0" w:uiPriority="99" w:semiHidden="0" w:name="Table List 4"/>
    <w:lsdException w:qFormat="1" w:unhideWhenUsed="0" w:uiPriority="99" w:semiHidden="0" w:name="Table List 5"/>
    <w:lsdException w:qFormat="1" w:unhideWhenUsed="0" w:uiPriority="99" w:semiHidden="0" w:name="Table List 6"/>
    <w:lsdException w:qFormat="1" w:unhideWhenUsed="0" w:uiPriority="99" w:semiHidden="0" w:name="Table List 7"/>
    <w:lsdException w:qFormat="1" w:unhideWhenUsed="0" w:uiPriority="99" w:semiHidden="0" w:name="Table List 8"/>
    <w:lsdException w:qFormat="1" w:unhideWhenUsed="0" w:uiPriority="99" w:semiHidden="0" w:name="Table 3D effects 1"/>
    <w:lsdException w:qFormat="1" w:unhideWhenUsed="0" w:uiPriority="99" w:semiHidden="0" w:name="Table 3D effects 2"/>
    <w:lsdException w:qFormat="1" w:unhideWhenUsed="0" w:uiPriority="99" w:semiHidden="0" w:name="Table 3D effects 3"/>
    <w:lsdException w:qFormat="1" w:unhideWhenUsed="0" w:uiPriority="99" w:semiHidden="0" w:name="Table Contemporary"/>
    <w:lsdException w:qFormat="1" w:unhideWhenUsed="0" w:uiPriority="99" w:semiHidden="0" w:name="Table Elegant"/>
    <w:lsdException w:qFormat="1" w:unhideWhenUsed="0" w:uiPriority="99" w:semiHidden="0" w:name="Table Professional"/>
    <w:lsdException w:qFormat="1" w:unhideWhenUsed="0" w:uiPriority="99" w:semiHidden="0" w:name="Table Subtle 1"/>
    <w:lsdException w:qFormat="1" w:unhideWhenUsed="0" w:uiPriority="99" w:semiHidden="0" w:name="Table Subtle 2"/>
    <w:lsdException w:qFormat="1" w:unhideWhenUsed="0" w:uiPriority="99" w:semiHidden="0" w:name="Table Web 1"/>
    <w:lsdException w:qFormat="1" w:unhideWhenUsed="0" w:uiPriority="99" w:semiHidden="0" w:name="Table Web 2"/>
    <w:lsdException w:qFormat="1" w:unhideWhenUsed="0" w:uiPriority="99" w:semiHidden="0"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99"/>
    <w:pPr>
      <w:widowControl w:val="0"/>
      <w:autoSpaceDE w:val="0"/>
      <w:autoSpaceDN w:val="0"/>
      <w:adjustRightInd w:val="0"/>
    </w:pPr>
    <w:rPr>
      <w:rFonts w:hint="default" w:ascii="Arial" w:hAnsi="Arial" w:eastAsia="宋体" w:cs="Times New Roman"/>
      <w:color w:val="000000"/>
      <w:sz w:val="24"/>
      <w:szCs w:val="24"/>
    </w:rPr>
  </w:style>
  <w:style w:type="paragraph" w:styleId="2">
    <w:name w:val="heading 1"/>
    <w:next w:val="1"/>
    <w:unhideWhenUsed/>
    <w:uiPriority w:val="99"/>
    <w:pPr>
      <w:widowControl w:val="0"/>
      <w:autoSpaceDE w:val="0"/>
      <w:autoSpaceDN w:val="0"/>
      <w:adjustRightInd w:val="0"/>
    </w:pPr>
    <w:rPr>
      <w:rFonts w:hint="default" w:ascii="Arial" w:hAnsi="Arial" w:eastAsia="宋体" w:cs="Times New Roman"/>
      <w:b/>
      <w:color w:val="000000"/>
      <w:sz w:val="32"/>
      <w:szCs w:val="24"/>
    </w:rPr>
  </w:style>
  <w:style w:type="paragraph" w:styleId="3">
    <w:name w:val="heading 2"/>
    <w:next w:val="1"/>
    <w:unhideWhenUsed/>
    <w:uiPriority w:val="99"/>
    <w:pPr>
      <w:widowControl w:val="0"/>
      <w:autoSpaceDE w:val="0"/>
      <w:autoSpaceDN w:val="0"/>
      <w:adjustRightInd w:val="0"/>
    </w:pPr>
    <w:rPr>
      <w:rFonts w:hint="default" w:ascii="Arial" w:hAnsi="Arial" w:eastAsia="宋体" w:cs="Times New Roman"/>
      <w:b/>
      <w:i/>
      <w:color w:val="000000"/>
      <w:sz w:val="28"/>
      <w:szCs w:val="24"/>
    </w:rPr>
  </w:style>
  <w:style w:type="paragraph" w:styleId="4">
    <w:name w:val="heading 3"/>
    <w:next w:val="1"/>
    <w:unhideWhenUsed/>
    <w:uiPriority w:val="99"/>
    <w:pPr>
      <w:widowControl w:val="0"/>
      <w:autoSpaceDE w:val="0"/>
      <w:autoSpaceDN w:val="0"/>
      <w:adjustRightInd w:val="0"/>
    </w:pPr>
    <w:rPr>
      <w:rFonts w:hint="default" w:ascii="Arial" w:hAnsi="Arial" w:eastAsia="宋体" w:cs="Times New Roman"/>
      <w:b/>
      <w:color w:val="000000"/>
      <w:sz w:val="26"/>
      <w:szCs w:val="24"/>
    </w:rPr>
  </w:style>
  <w:style w:type="character" w:default="1" w:styleId="6">
    <w:name w:val="Default Paragraph Font"/>
    <w:unhideWhenUsed/>
    <w:uiPriority w:val="99"/>
    <w:rPr>
      <w:rFonts w:hint="default"/>
      <w:sz w:val="24"/>
      <w:szCs w:val="24"/>
    </w:rPr>
  </w:style>
  <w:style w:type="table" w:default="1" w:styleId="5">
    <w:name w:val="Normal Table"/>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Office_11.8.2.12085_F1E327BC-269C-435d-A152-05C5408002CA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2025-02-11T05:41:00Z</dcterms:created>
  <dc:creator>xubo</dc:creator>
  <cp:lastModifiedBy>徐博</cp:lastModifiedBy>
  <dcterms:modified xsi:type="dcterms:W3CDTF">2025-06-03T01:08:27Z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746DA2D003E843ECA831797398C32957</vt:lpwstr>
  </property>
</Properties>
</file>