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spacing w:line="360" w:lineRule="auto"/>
        <w:ind w:firstLine="883" w:firstLineChars="200"/>
        <w:jc w:val="center"/>
        <w:textAlignment w:val="auto"/>
        <w:rPr>
          <w:b/>
          <w:sz w:val="44"/>
          <w:szCs w:val="44"/>
          <w:lang w:bidi="en-US"/>
        </w:rPr>
      </w:pPr>
      <w:r>
        <w:rPr>
          <w:rFonts w:hint="eastAsia"/>
          <w:b/>
          <w:sz w:val="44"/>
          <w:szCs w:val="44"/>
          <w:lang w:bidi="en-US"/>
        </w:rPr>
        <w:t>公开</w:t>
      </w:r>
      <w:r>
        <w:rPr>
          <w:rFonts w:hint="eastAsia"/>
          <w:b/>
          <w:sz w:val="44"/>
          <w:szCs w:val="44"/>
          <w:lang w:eastAsia="zh-CN" w:bidi="en-US"/>
        </w:rPr>
        <w:t>询比</w:t>
      </w:r>
      <w:r>
        <w:rPr>
          <w:rFonts w:hint="eastAsia"/>
          <w:b/>
          <w:sz w:val="44"/>
          <w:szCs w:val="44"/>
          <w:lang w:bidi="en-US"/>
        </w:rPr>
        <w:t>要求</w:t>
      </w:r>
    </w:p>
    <w:p>
      <w:pPr>
        <w:pStyle w:val="6"/>
        <w:keepNext w:val="0"/>
        <w:keepLines w:val="0"/>
        <w:pageBreakBefore w:val="0"/>
        <w:kinsoku/>
        <w:wordWrap/>
        <w:overflowPunct/>
        <w:topLinePunct w:val="0"/>
        <w:autoSpaceDE/>
        <w:autoSpaceDN/>
        <w:bidi w:val="0"/>
        <w:spacing w:line="360" w:lineRule="auto"/>
        <w:ind w:firstLine="883" w:firstLineChars="200"/>
        <w:jc w:val="center"/>
        <w:textAlignment w:val="auto"/>
        <w:rPr>
          <w:b/>
          <w:sz w:val="44"/>
          <w:szCs w:val="44"/>
          <w:lang w:bidi="en-US"/>
        </w:rPr>
      </w:pPr>
      <w:r>
        <w:rPr>
          <w:rFonts w:hint="eastAsia"/>
          <w:b/>
          <w:sz w:val="44"/>
          <w:szCs w:val="44"/>
          <w:lang w:bidi="en-US"/>
        </w:rPr>
        <w:t>（资材采购）</w:t>
      </w:r>
    </w:p>
    <w:p>
      <w:pPr>
        <w:keepNext w:val="0"/>
        <w:keepLines w:val="0"/>
        <w:pageBreakBefore w:val="0"/>
        <w:numPr>
          <w:ilvl w:val="0"/>
          <w:numId w:val="0"/>
        </w:numPr>
        <w:kinsoku/>
        <w:wordWrap/>
        <w:overflowPunct/>
        <w:topLinePunct w:val="0"/>
        <w:autoSpaceDE/>
        <w:autoSpaceDN/>
        <w:bidi w:val="0"/>
        <w:spacing w:line="360" w:lineRule="auto"/>
        <w:ind w:left="0" w:leftChars="0" w:firstLine="638" w:firstLineChars="196"/>
        <w:jc w:val="left"/>
        <w:textAlignment w:val="auto"/>
        <w:rPr>
          <w:rFonts w:hint="eastAsia" w:ascii="黑体" w:hAnsi="黑体" w:eastAsia="黑体" w:cs="黑体"/>
          <w:i w:val="0"/>
          <w:caps w:val="0"/>
          <w:color w:val="111111"/>
          <w:spacing w:val="3"/>
          <w:sz w:val="32"/>
          <w:szCs w:val="32"/>
          <w:shd w:val="clear" w:fill="FFFFFF"/>
        </w:rPr>
      </w:pPr>
      <w:r>
        <w:rPr>
          <w:rFonts w:hint="eastAsia" w:ascii="黑体" w:hAnsi="黑体" w:eastAsia="黑体" w:cs="黑体"/>
          <w:i w:val="0"/>
          <w:caps w:val="0"/>
          <w:color w:val="111111"/>
          <w:spacing w:val="3"/>
          <w:sz w:val="32"/>
          <w:szCs w:val="32"/>
          <w:shd w:val="clear" w:fill="FFFFFF"/>
          <w:lang w:eastAsia="zh-CN"/>
        </w:rPr>
        <w:t>一、</w:t>
      </w:r>
      <w:r>
        <w:rPr>
          <w:rFonts w:hint="eastAsia" w:ascii="黑体" w:hAnsi="黑体" w:eastAsia="黑体" w:cs="黑体"/>
          <w:i w:val="0"/>
          <w:caps w:val="0"/>
          <w:color w:val="111111"/>
          <w:spacing w:val="3"/>
          <w:sz w:val="32"/>
          <w:szCs w:val="32"/>
          <w:shd w:val="clear" w:fill="FFFFFF"/>
        </w:rPr>
        <w:t>商务要求</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 xml:space="preserve">1.以投标截止之日为限，投标人须工商注册成立一年以上。                </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green"/>
        </w:rPr>
      </w:pPr>
      <w:r>
        <w:rPr>
          <w:rFonts w:hint="eastAsia" w:ascii="仿宋_GB2312" w:hAnsi="仿宋_GB2312" w:eastAsia="仿宋_GB2312" w:cs="仿宋_GB2312"/>
          <w:bCs/>
          <w:kern w:val="1"/>
          <w:sz w:val="32"/>
          <w:szCs w:val="32"/>
          <w:highlight w:val="none"/>
          <w:lang w:val="en-US" w:eastAsia="zh-CN"/>
        </w:rPr>
        <w:t>2.不接受联合体投标。</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3.按准入条件选择参与投标的企业类型。生产型企业投标产品必须是本企业自产产品。</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color w:val="auto"/>
          <w:kern w:val="1"/>
          <w:sz w:val="32"/>
          <w:szCs w:val="32"/>
          <w:highlight w:val="none"/>
          <w:lang w:val="en-US" w:eastAsia="zh-CN"/>
        </w:rPr>
        <w:t>（1）生产型企业所生产投标产品属国家相关法律法规规定必须办理生产许可证的，提供生产该种产品的生产许可证原件的扫描件或照片；</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color w:val="auto"/>
          <w:kern w:val="1"/>
          <w:sz w:val="32"/>
          <w:szCs w:val="32"/>
          <w:highlight w:val="none"/>
          <w:lang w:val="en-US" w:eastAsia="zh-CN"/>
        </w:rPr>
        <w:t>（2）生产型企业所生产投标产品无国家相关法律法规规定必须办理生产许可证的，委托人有权于定标前对拟中标人进行现场考察确认。</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4.禁止鞍钢集团公司及本项目采购组织的限期整改、灰名单、黑名单企业参与本次投标。</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5.招标方式工程建设项目中的货物，一个生产商对同一品牌同一型号的货物，仅能由制造商或者制造商委托唯一代理商参加投标。</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6.单位负责人为同一人、存在控股关系、管理关系的不同投标人参与投标，资格预审项目，由采购方在预审结果确认环节选择其中1个符合资格条件的单位参加投标，其他涉及投标人取消投标资格。资格后审项目，取消全部涉及投标人投标资格。</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7.投标方未按要求提供相关注册资金、资质、业绩等证明，或提供的相关注册资金、资质、业绩等证明不满足招标要求，投标文件无效。</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8.投标方必须确保提供的所有证明（包括但不限于注册资金、资质、业绩等）合法、真实、有效，否则承担由此产生的法律责任。</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9.委托人可根据项目需求填写报价要求、交（提）货地点、运输方式及运费、标的物数量、供货方交付期限。</w:t>
      </w:r>
    </w:p>
    <w:p>
      <w:pPr>
        <w:pStyle w:val="2"/>
        <w:ind w:left="0" w:leftChars="0" w:firstLine="640" w:firstLineChars="200"/>
        <w:rPr>
          <w:rFonts w:hint="default" w:ascii="仿宋_GB2312" w:hAnsi="仿宋_GB2312" w:eastAsia="仿宋_GB2312" w:cs="仿宋_GB2312"/>
          <w:bCs/>
          <w:color w:val="auto"/>
          <w:kern w:val="1"/>
          <w:sz w:val="32"/>
          <w:szCs w:val="32"/>
          <w:highlight w:val="none"/>
          <w:lang w:val="en-US" w:eastAsia="zh-CN" w:bidi="ar-SA"/>
        </w:rPr>
      </w:pPr>
      <w:r>
        <w:rPr>
          <w:rFonts w:hint="eastAsia" w:ascii="仿宋_GB2312" w:hAnsi="仿宋_GB2312" w:eastAsia="仿宋_GB2312" w:cs="仿宋_GB2312"/>
          <w:bCs/>
          <w:kern w:val="1"/>
          <w:sz w:val="32"/>
          <w:szCs w:val="32"/>
          <w:highlight w:val="none"/>
          <w:lang w:val="en-US" w:eastAsia="zh-CN" w:bidi="ar-SA"/>
        </w:rPr>
        <w:t>10.评标方法：</w:t>
      </w:r>
      <w:r>
        <w:rPr>
          <w:rFonts w:hint="eastAsia" w:ascii="仿宋_GB2312" w:hAnsi="仿宋_GB2312" w:eastAsia="仿宋_GB2312" w:cs="仿宋_GB2312"/>
          <w:bCs/>
          <w:color w:val="auto"/>
          <w:kern w:val="1"/>
          <w:sz w:val="32"/>
          <w:szCs w:val="32"/>
          <w:highlight w:val="none"/>
          <w:lang w:val="en-US" w:eastAsia="zh-CN" w:bidi="ar-SA"/>
        </w:rPr>
        <w:t>经评审的最低投标价法，本项目设定的预测价仅作为评审参考。</w:t>
      </w:r>
    </w:p>
    <w:p>
      <w:pPr>
        <w:keepNext w:val="0"/>
        <w:keepLines w:val="0"/>
        <w:pageBreakBefore w:val="0"/>
        <w:numPr>
          <w:ilvl w:val="0"/>
          <w:numId w:val="0"/>
        </w:numPr>
        <w:kinsoku/>
        <w:wordWrap/>
        <w:overflowPunct/>
        <w:topLinePunct w:val="0"/>
        <w:autoSpaceDE/>
        <w:autoSpaceDN/>
        <w:bidi w:val="0"/>
        <w:spacing w:line="360" w:lineRule="auto"/>
        <w:ind w:left="0" w:leftChars="0" w:firstLine="638" w:firstLineChars="196"/>
        <w:jc w:val="left"/>
        <w:textAlignment w:val="auto"/>
        <w:rPr>
          <w:rFonts w:hint="eastAsia" w:ascii="黑体" w:hAnsi="黑体" w:eastAsia="黑体" w:cs="黑体"/>
          <w:i w:val="0"/>
          <w:caps w:val="0"/>
          <w:color w:val="111111"/>
          <w:spacing w:val="3"/>
          <w:sz w:val="32"/>
          <w:szCs w:val="32"/>
          <w:shd w:val="clear" w:fill="FFFFFF"/>
          <w:lang w:val="en-US" w:eastAsia="zh-CN"/>
        </w:rPr>
      </w:pPr>
      <w:r>
        <w:rPr>
          <w:rFonts w:hint="eastAsia" w:ascii="黑体" w:hAnsi="黑体" w:eastAsia="黑体" w:cs="黑体"/>
          <w:i w:val="0"/>
          <w:caps w:val="0"/>
          <w:color w:val="111111"/>
          <w:spacing w:val="3"/>
          <w:sz w:val="32"/>
          <w:szCs w:val="32"/>
          <w:shd w:val="clear" w:fill="FFFFFF"/>
          <w:lang w:val="en-US" w:eastAsia="zh-CN"/>
        </w:rPr>
        <w:t>二、技术要求</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1、按物料对应采购标准执行。</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2、技术交流：不需要。</w:t>
      </w:r>
    </w:p>
    <w:p>
      <w:pPr>
        <w:keepNext w:val="0"/>
        <w:keepLines w:val="0"/>
        <w:pageBreakBefore w:val="0"/>
        <w:numPr>
          <w:ilvl w:val="0"/>
          <w:numId w:val="0"/>
        </w:numPr>
        <w:kinsoku/>
        <w:wordWrap/>
        <w:overflowPunct/>
        <w:topLinePunct w:val="0"/>
        <w:autoSpaceDE/>
        <w:autoSpaceDN/>
        <w:bidi w:val="0"/>
        <w:spacing w:line="360" w:lineRule="auto"/>
        <w:ind w:left="0" w:leftChars="0" w:firstLine="638" w:firstLineChars="196"/>
        <w:jc w:val="left"/>
        <w:textAlignment w:val="auto"/>
        <w:rPr>
          <w:rFonts w:hint="eastAsia" w:ascii="黑体" w:hAnsi="黑体" w:eastAsia="黑体" w:cs="黑体"/>
          <w:i w:val="0"/>
          <w:caps w:val="0"/>
          <w:color w:val="111111"/>
          <w:spacing w:val="3"/>
          <w:sz w:val="32"/>
          <w:szCs w:val="32"/>
          <w:shd w:val="clear" w:fill="FFFFFF"/>
          <w:lang w:val="en-US" w:eastAsia="zh-CN"/>
        </w:rPr>
      </w:pPr>
      <w:r>
        <w:rPr>
          <w:rFonts w:hint="eastAsia" w:ascii="黑体" w:hAnsi="黑体" w:eastAsia="黑体" w:cs="黑体"/>
          <w:i w:val="0"/>
          <w:caps w:val="0"/>
          <w:color w:val="111111"/>
          <w:spacing w:val="3"/>
          <w:sz w:val="32"/>
          <w:szCs w:val="32"/>
          <w:shd w:val="clear" w:fill="FFFFFF"/>
          <w:lang w:val="en-US" w:eastAsia="zh-CN"/>
        </w:rPr>
        <w:t>三、资质及业绩要求</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 xml:space="preserve">1、需要提供年检合格的企业资质要求： </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（1）营业执照（或副本）扫描件；</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（2）税务登记证（或副本）扫描件（三证合一的除外）；</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 xml:space="preserve">（3）组织机构代码证（或副本）扫描件（三证合一的除外)； </w:t>
      </w:r>
    </w:p>
    <w:p>
      <w:pPr>
        <w:spacing w:line="360" w:lineRule="auto"/>
        <w:ind w:firstLine="640" w:firstLineChars="200"/>
        <w:jc w:val="left"/>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（4）属于3C产品认证目录的，提供3C认证证书扫描件或照片；</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（5）</w:t>
      </w:r>
      <w:r>
        <w:rPr>
          <w:rFonts w:hint="eastAsia" w:ascii="仿宋_GB2312" w:hAnsi="仿宋_GB2312" w:eastAsia="仿宋_GB2312" w:cs="仿宋_GB2312"/>
          <w:bCs/>
          <w:color w:val="auto"/>
          <w:kern w:val="1"/>
          <w:sz w:val="32"/>
          <w:szCs w:val="32"/>
          <w:highlight w:val="none"/>
          <w:lang w:val="en-US" w:eastAsia="zh-CN"/>
        </w:rPr>
        <w:t>其他资质认证：准入条件中要求认证的，提供相应认证证书原件扫描件电子版。认证证书将通过全国认证认可信息公共服务平台（http://cx.cnca.cn）进行查验，如内容不一致或无法查询则报名无效。</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2.业绩要求：见准入条件。</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准入条件中要求业绩的，提供符合准入条件要求的产品销售业绩凭证（</w:t>
      </w:r>
      <w:r>
        <w:rPr>
          <w:rFonts w:hint="eastAsia" w:ascii="仿宋" w:hAnsi="仿宋" w:eastAsia="仿宋" w:cs="仿宋"/>
          <w:bCs/>
          <w:kern w:val="1"/>
          <w:sz w:val="32"/>
          <w:szCs w:val="32"/>
          <w:highlight w:val="none"/>
          <w:lang w:val="en-US" w:eastAsia="zh-CN"/>
        </w:rPr>
        <w:t>增值税发票及对应的合同</w:t>
      </w:r>
      <w:r>
        <w:rPr>
          <w:rFonts w:hint="eastAsia" w:ascii="仿宋_GB2312" w:hAnsi="仿宋_GB2312" w:eastAsia="仿宋_GB2312" w:cs="仿宋_GB2312"/>
          <w:bCs/>
          <w:kern w:val="1"/>
          <w:sz w:val="32"/>
          <w:szCs w:val="32"/>
          <w:highlight w:val="none"/>
          <w:lang w:val="en-US" w:eastAsia="zh-CN"/>
        </w:rPr>
        <w:t>）</w:t>
      </w:r>
      <w:r>
        <w:rPr>
          <w:rFonts w:hint="eastAsia" w:ascii="仿宋_GB2312" w:hAnsi="仿宋_GB2312" w:eastAsia="仿宋_GB2312" w:cs="仿宋_GB2312"/>
          <w:bCs/>
          <w:color w:val="auto"/>
          <w:kern w:val="1"/>
          <w:sz w:val="32"/>
          <w:szCs w:val="32"/>
          <w:highlight w:val="none"/>
          <w:lang w:val="en-US" w:eastAsia="zh-CN"/>
        </w:rPr>
        <w:t>，提供</w:t>
      </w:r>
      <w:r>
        <w:rPr>
          <w:rFonts w:hint="eastAsia" w:ascii="仿宋" w:hAnsi="仿宋" w:eastAsia="仿宋" w:cs="仿宋"/>
          <w:color w:val="auto"/>
          <w:sz w:val="32"/>
          <w:szCs w:val="32"/>
          <w:highlight w:val="none"/>
          <w:lang w:eastAsia="zh-CN"/>
        </w:rPr>
        <w:t>原件扫描电子版</w:t>
      </w:r>
      <w:r>
        <w:rPr>
          <w:rFonts w:hint="eastAsia" w:ascii="仿宋_GB2312" w:hAnsi="仿宋_GB2312" w:eastAsia="仿宋_GB2312" w:cs="仿宋_GB2312"/>
          <w:bCs/>
          <w:color w:val="auto"/>
          <w:kern w:val="1"/>
          <w:sz w:val="32"/>
          <w:szCs w:val="32"/>
          <w:highlight w:val="none"/>
          <w:lang w:val="en-US" w:eastAsia="zh-CN"/>
        </w:rPr>
        <w:t>。增值税发票信息内容中无关数据允许删除或遮盖，但开票日期、发票代码、增值税发票号、发票含税及不含税金额（元）必须显示。</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color w:val="auto"/>
          <w:kern w:val="1"/>
          <w:sz w:val="32"/>
          <w:szCs w:val="32"/>
          <w:highlight w:val="none"/>
          <w:lang w:val="en-US" w:eastAsia="zh-CN"/>
        </w:rPr>
        <w:t>增值税发票将通过国家税务总局全国增值税发票查验平台（https://inv-veri.chinatax.gov.cn）进行查验，如内容不一致或无法查询则报名无效。</w:t>
      </w:r>
    </w:p>
    <w:p>
      <w:pPr>
        <w:keepNext w:val="0"/>
        <w:keepLines w:val="0"/>
        <w:pageBreakBefore w:val="0"/>
        <w:numPr>
          <w:ilvl w:val="0"/>
          <w:numId w:val="0"/>
        </w:numPr>
        <w:kinsoku/>
        <w:wordWrap/>
        <w:overflowPunct/>
        <w:topLinePunct w:val="0"/>
        <w:autoSpaceDE/>
        <w:autoSpaceDN/>
        <w:bidi w:val="0"/>
        <w:spacing w:line="360" w:lineRule="auto"/>
        <w:ind w:left="0" w:leftChars="0" w:firstLine="638" w:firstLineChars="196"/>
        <w:jc w:val="left"/>
        <w:textAlignment w:val="auto"/>
        <w:rPr>
          <w:rFonts w:hint="eastAsia" w:ascii="黑体" w:hAnsi="黑体" w:eastAsia="黑体" w:cs="黑体"/>
          <w:i w:val="0"/>
          <w:caps w:val="0"/>
          <w:color w:val="111111"/>
          <w:spacing w:val="3"/>
          <w:sz w:val="32"/>
          <w:szCs w:val="32"/>
          <w:highlight w:val="none"/>
          <w:shd w:val="clear" w:fill="FFFFFF"/>
          <w:lang w:val="en-US" w:eastAsia="zh-CN"/>
        </w:rPr>
      </w:pPr>
      <w:r>
        <w:rPr>
          <w:rFonts w:hint="eastAsia" w:ascii="黑体" w:hAnsi="黑体" w:eastAsia="黑体" w:cs="黑体"/>
          <w:i w:val="0"/>
          <w:caps w:val="0"/>
          <w:color w:val="111111"/>
          <w:spacing w:val="3"/>
          <w:sz w:val="32"/>
          <w:szCs w:val="32"/>
          <w:highlight w:val="none"/>
          <w:shd w:val="clear" w:fill="FFFFFF"/>
          <w:lang w:val="en-US" w:eastAsia="zh-CN"/>
        </w:rPr>
        <w:t>四、财务要求</w:t>
      </w:r>
    </w:p>
    <w:p>
      <w:pPr>
        <w:keepNext w:val="0"/>
        <w:keepLines w:val="0"/>
        <w:pageBreakBefore w:val="0"/>
        <w:numPr>
          <w:ilvl w:val="0"/>
          <w:numId w:val="0"/>
        </w:numPr>
        <w:kinsoku/>
        <w:wordWrap/>
        <w:overflowPunct/>
        <w:topLinePunct w:val="0"/>
        <w:autoSpaceDE/>
        <w:autoSpaceDN/>
        <w:bidi w:val="0"/>
        <w:spacing w:line="360" w:lineRule="auto"/>
        <w:ind w:left="0" w:leftChars="0" w:firstLine="627" w:firstLineChars="196"/>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color w:val="auto"/>
          <w:kern w:val="1"/>
          <w:sz w:val="32"/>
          <w:szCs w:val="32"/>
          <w:highlight w:val="none"/>
          <w:lang w:val="en-US" w:eastAsia="zh-CN"/>
        </w:rPr>
        <w:t>投标人注册资金不低于准入条件</w:t>
      </w:r>
      <w:r>
        <w:rPr>
          <w:rFonts w:hint="eastAsia" w:ascii="仿宋_GB2312" w:hAnsi="仿宋_GB2312" w:eastAsia="仿宋_GB2312" w:cs="仿宋_GB2312"/>
          <w:bCs/>
          <w:strike w:val="0"/>
          <w:color w:val="auto"/>
          <w:kern w:val="1"/>
          <w:sz w:val="32"/>
          <w:szCs w:val="32"/>
          <w:highlight w:val="none"/>
          <w:lang w:val="en-US" w:eastAsia="zh-CN"/>
        </w:rPr>
        <w:t>及如下</w:t>
      </w:r>
      <w:r>
        <w:rPr>
          <w:rFonts w:hint="eastAsia" w:ascii="仿宋_GB2312" w:hAnsi="仿宋_GB2312" w:eastAsia="仿宋_GB2312" w:cs="仿宋_GB2312"/>
          <w:bCs/>
          <w:color w:val="auto"/>
          <w:kern w:val="1"/>
          <w:sz w:val="32"/>
          <w:szCs w:val="32"/>
          <w:highlight w:val="none"/>
          <w:lang w:val="en-US" w:eastAsia="zh-CN"/>
        </w:rPr>
        <w:t xml:space="preserve">要求。 </w:t>
      </w:r>
    </w:p>
    <w:p>
      <w:pPr>
        <w:keepNext w:val="0"/>
        <w:keepLines w:val="0"/>
        <w:pageBreakBefore w:val="0"/>
        <w:numPr>
          <w:ilvl w:val="0"/>
          <w:numId w:val="0"/>
        </w:numPr>
        <w:kinsoku/>
        <w:wordWrap/>
        <w:overflowPunct/>
        <w:topLinePunct w:val="0"/>
        <w:autoSpaceDE/>
        <w:autoSpaceDN/>
        <w:bidi w:val="0"/>
        <w:spacing w:line="360" w:lineRule="auto"/>
        <w:ind w:left="0" w:leftChars="0" w:firstLine="627" w:firstLineChars="196"/>
        <w:jc w:val="left"/>
        <w:textAlignment w:val="auto"/>
        <w:rPr>
          <w:rFonts w:hint="eastAsia" w:ascii="仿宋_GB2312" w:hAnsi="仿宋_GB2312" w:eastAsia="仿宋_GB2312" w:cs="仿宋_GB2312"/>
          <w:bCs/>
          <w:strike w:val="0"/>
          <w:color w:val="auto"/>
          <w:kern w:val="1"/>
          <w:sz w:val="32"/>
          <w:szCs w:val="32"/>
          <w:highlight w:val="none"/>
          <w:lang w:val="en-US" w:eastAsia="zh-CN"/>
        </w:rPr>
      </w:pPr>
      <w:r>
        <w:rPr>
          <w:rFonts w:hint="eastAsia" w:ascii="仿宋_GB2312" w:hAnsi="仿宋_GB2312" w:eastAsia="仿宋_GB2312" w:cs="仿宋_GB2312"/>
          <w:bCs/>
          <w:strike w:val="0"/>
          <w:color w:val="auto"/>
          <w:kern w:val="1"/>
          <w:sz w:val="32"/>
          <w:szCs w:val="32"/>
          <w:highlight w:val="none"/>
          <w:lang w:val="en-US" w:eastAsia="zh-CN"/>
        </w:rPr>
        <w:t>投标人注册资金不低于项目计划价总金额(不含税)的30%;多家中标时，注册资金不低于所投标段或标量金额(不含税)的30%，供应商注册资本低于所投标段或标量金额(不含税)30%的，委托人须履行严格供应商履约保供能力审查流程后方可实施采购。</w:t>
      </w:r>
    </w:p>
    <w:p>
      <w:pPr>
        <w:keepNext w:val="0"/>
        <w:keepLines w:val="0"/>
        <w:pageBreakBefore w:val="0"/>
        <w:numPr>
          <w:ilvl w:val="0"/>
          <w:numId w:val="0"/>
        </w:numPr>
        <w:kinsoku/>
        <w:wordWrap/>
        <w:overflowPunct/>
        <w:topLinePunct w:val="0"/>
        <w:autoSpaceDE/>
        <w:autoSpaceDN/>
        <w:bidi w:val="0"/>
        <w:spacing w:line="360" w:lineRule="auto"/>
        <w:ind w:left="0" w:leftChars="0" w:firstLine="638" w:firstLineChars="196"/>
        <w:jc w:val="left"/>
        <w:textAlignment w:val="auto"/>
        <w:rPr>
          <w:rFonts w:hint="eastAsia" w:ascii="黑体" w:hAnsi="黑体" w:eastAsia="黑体" w:cs="黑体"/>
          <w:i w:val="0"/>
          <w:caps w:val="0"/>
          <w:color w:val="111111"/>
          <w:spacing w:val="3"/>
          <w:sz w:val="32"/>
          <w:szCs w:val="32"/>
          <w:highlight w:val="none"/>
          <w:shd w:val="clear" w:fill="FFFFFF"/>
          <w:lang w:val="en-US" w:eastAsia="zh-CN"/>
        </w:rPr>
      </w:pPr>
      <w:r>
        <w:rPr>
          <w:rFonts w:hint="eastAsia" w:ascii="黑体" w:hAnsi="黑体" w:eastAsia="黑体" w:cs="黑体"/>
          <w:i w:val="0"/>
          <w:caps w:val="0"/>
          <w:color w:val="111111"/>
          <w:spacing w:val="3"/>
          <w:sz w:val="32"/>
          <w:szCs w:val="32"/>
          <w:highlight w:val="none"/>
          <w:shd w:val="clear" w:fill="FFFFFF"/>
          <w:lang w:val="en-US" w:eastAsia="zh-CN"/>
        </w:rPr>
        <w:t>五、付款方式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仿宋"/>
          <w:b w:val="0"/>
          <w:bCs w:val="0"/>
          <w:kern w:val="1"/>
          <w:sz w:val="32"/>
          <w:szCs w:val="32"/>
          <w:highlight w:val="none"/>
          <w:lang w:val="en-US" w:eastAsia="zh-CN"/>
        </w:rPr>
      </w:pPr>
      <w:r>
        <w:rPr>
          <w:rFonts w:hint="eastAsia" w:ascii="仿宋" w:hAnsi="仿宋" w:eastAsia="仿宋" w:cs="仿宋"/>
          <w:b w:val="0"/>
          <w:bCs w:val="0"/>
          <w:kern w:val="1"/>
          <w:sz w:val="32"/>
          <w:szCs w:val="32"/>
          <w:highlight w:val="none"/>
          <w:lang w:val="en-US" w:eastAsia="zh-CN"/>
        </w:rPr>
        <w:t>货到验收合格后，提供全额发票挂账付款。付款方式如下：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_GB2312" w:hAnsi="Times New Roman" w:eastAsia="仿宋_GB2312" w:cs="Times New Roman"/>
          <w:sz w:val="32"/>
          <w:szCs w:val="32"/>
          <w:highlight w:val="none"/>
          <w:lang w:val="en-US" w:eastAsia="en-US" w:bidi="en-US"/>
        </w:rPr>
      </w:pPr>
      <w:r>
        <w:rPr>
          <w:rFonts w:hint="eastAsia" w:ascii="仿宋_GB2312" w:hAnsi="Times New Roman" w:eastAsia="仿宋_GB2312" w:cs="Times New Roman"/>
          <w:sz w:val="32"/>
          <w:szCs w:val="32"/>
          <w:highlight w:val="none"/>
          <w:lang w:val="en-US" w:eastAsia="en-US" w:bidi="en-US"/>
        </w:rPr>
        <w:t>方式一：支付银行承兑汇票为挂账月起第五个月支付；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_GB2312" w:hAnsi="Times New Roman" w:eastAsia="仿宋_GB2312" w:cs="Times New Roman"/>
          <w:sz w:val="32"/>
          <w:szCs w:val="32"/>
          <w:highlight w:val="none"/>
          <w:lang w:val="en-US" w:eastAsia="zh-CN" w:bidi="en-US"/>
        </w:rPr>
      </w:pPr>
      <w:r>
        <w:rPr>
          <w:rFonts w:hint="eastAsia" w:ascii="仿宋_GB2312" w:hAnsi="Times New Roman" w:eastAsia="仿宋_GB2312" w:cs="Times New Roman"/>
          <w:sz w:val="32"/>
          <w:szCs w:val="32"/>
          <w:highlight w:val="none"/>
          <w:lang w:val="en-US" w:eastAsia="en-US" w:bidi="en-US"/>
        </w:rPr>
        <w:t>方式二：支付货币为挂账月起第十一个月支付</w:t>
      </w:r>
      <w:r>
        <w:rPr>
          <w:rFonts w:hint="eastAsia" w:ascii="仿宋_GB2312" w:hAnsi="Times New Roman" w:eastAsia="仿宋_GB2312" w:cs="Times New Roman"/>
          <w:sz w:val="32"/>
          <w:szCs w:val="32"/>
          <w:highlight w:val="none"/>
          <w:lang w:val="en-US" w:eastAsia="zh-CN" w:bidi="en-US"/>
        </w:rPr>
        <w:t>。</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注：</w:t>
      </w:r>
      <w:r>
        <w:rPr>
          <w:rFonts w:hint="eastAsia" w:ascii="仿宋_GB2312" w:hAnsi="仿宋_GB2312" w:eastAsia="仿宋_GB2312" w:cs="仿宋_GB2312"/>
          <w:sz w:val="32"/>
          <w:szCs w:val="32"/>
          <w:highlight w:val="none"/>
        </w:rPr>
        <w:t>在本次采购执行过程中，若遇公司付款政策发生变化，按公司变化后的最新付款政策执行。</w:t>
      </w:r>
    </w:p>
    <w:p>
      <w:pPr>
        <w:keepNext w:val="0"/>
        <w:keepLines w:val="0"/>
        <w:pageBreakBefore w:val="0"/>
        <w:numPr>
          <w:ilvl w:val="0"/>
          <w:numId w:val="1"/>
        </w:numPr>
        <w:kinsoku/>
        <w:wordWrap/>
        <w:overflowPunct/>
        <w:topLinePunct w:val="0"/>
        <w:autoSpaceDE/>
        <w:autoSpaceDN/>
        <w:bidi w:val="0"/>
        <w:spacing w:line="360" w:lineRule="auto"/>
        <w:ind w:left="0" w:leftChars="0" w:firstLine="638" w:firstLineChars="196"/>
        <w:jc w:val="left"/>
        <w:textAlignment w:val="auto"/>
        <w:rPr>
          <w:rFonts w:hint="eastAsia" w:ascii="黑体" w:hAnsi="黑体" w:eastAsia="黑体" w:cs="黑体"/>
          <w:i w:val="0"/>
          <w:caps w:val="0"/>
          <w:color w:val="111111"/>
          <w:spacing w:val="3"/>
          <w:sz w:val="32"/>
          <w:szCs w:val="32"/>
          <w:highlight w:val="none"/>
          <w:shd w:val="clear" w:fill="FFFFFF"/>
          <w:lang w:val="en-US" w:eastAsia="zh-CN"/>
        </w:rPr>
      </w:pPr>
      <w:r>
        <w:rPr>
          <w:rFonts w:hint="eastAsia" w:ascii="黑体" w:hAnsi="黑体" w:eastAsia="黑体" w:cs="黑体"/>
          <w:i w:val="0"/>
          <w:caps w:val="0"/>
          <w:color w:val="111111"/>
          <w:spacing w:val="3"/>
          <w:sz w:val="32"/>
          <w:szCs w:val="32"/>
          <w:highlight w:val="none"/>
          <w:shd w:val="clear" w:fill="FFFFFF"/>
          <w:lang w:val="en-US" w:eastAsia="zh-CN"/>
        </w:rPr>
        <w:t>其它说明</w:t>
      </w:r>
    </w:p>
    <w:p>
      <w:pPr>
        <w:keepNext w:val="0"/>
        <w:keepLines w:val="0"/>
        <w:pageBreakBefore w:val="0"/>
        <w:kinsoku/>
        <w:wordWrap/>
        <w:overflowPunct/>
        <w:topLinePunct w:val="0"/>
        <w:autoSpaceDE/>
        <w:autoSpaceDN/>
        <w:bidi w:val="0"/>
        <w:spacing w:line="360" w:lineRule="auto"/>
        <w:ind w:firstLine="643" w:firstLineChars="200"/>
        <w:jc w:val="left"/>
        <w:textAlignment w:val="auto"/>
        <w:rPr>
          <w:rFonts w:hint="default" w:ascii="仿宋_GB2312" w:hAnsi="仿宋_GB2312" w:eastAsia="仿宋_GB2312" w:cs="仿宋_GB2312"/>
          <w:b/>
          <w:bCs w:val="0"/>
          <w:kern w:val="1"/>
          <w:sz w:val="32"/>
          <w:szCs w:val="32"/>
          <w:highlight w:val="none"/>
          <w:lang w:val="en-US" w:eastAsia="zh-CN"/>
        </w:rPr>
      </w:pPr>
      <w:r>
        <w:rPr>
          <w:rFonts w:hint="eastAsia" w:ascii="仿宋_GB2312" w:hAnsi="仿宋_GB2312" w:eastAsia="仿宋_GB2312" w:cs="仿宋_GB2312"/>
          <w:b/>
          <w:bCs w:val="0"/>
          <w:kern w:val="1"/>
          <w:sz w:val="32"/>
          <w:szCs w:val="32"/>
          <w:highlight w:val="none"/>
          <w:lang w:val="en-US" w:eastAsia="zh-CN"/>
        </w:rPr>
        <w:t>（一）投标注意事项</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1.必须上传投标函。投标函抬头鞍钢股份有限公司物资采购中心，投标函中报价为不含税总报价，并且加盖单位公章或法人、被授权人签字。</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kern w:val="1"/>
          <w:sz w:val="32"/>
          <w:szCs w:val="32"/>
          <w:highlight w:val="none"/>
          <w:lang w:val="en-US" w:eastAsia="zh-CN"/>
        </w:rPr>
      </w:pPr>
      <w:r>
        <w:rPr>
          <w:rFonts w:hint="eastAsia" w:ascii="仿宋_GB2312" w:hAnsi="仿宋_GB2312" w:eastAsia="仿宋_GB2312" w:cs="仿宋_GB2312"/>
          <w:bCs/>
          <w:kern w:val="1"/>
          <w:sz w:val="32"/>
          <w:szCs w:val="32"/>
          <w:highlight w:val="none"/>
          <w:lang w:val="en-US" w:eastAsia="zh-CN"/>
        </w:rPr>
        <w:t>2.必须上传鞍钢集团采购廉洁诚信承诺。廉洁诚信承诺样本在鞍钢招标公司网站下载，加盖公章后上传。否则，按照相关要求投标资料将视为无效。</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auto"/>
          <w:kern w:val="1"/>
          <w:sz w:val="32"/>
          <w:szCs w:val="32"/>
          <w:highlight w:val="none"/>
          <w:lang w:val="en-US" w:eastAsia="zh-CN"/>
        </w:rPr>
      </w:pPr>
      <w:r>
        <w:rPr>
          <w:rFonts w:hint="eastAsia" w:ascii="仿宋_GB2312" w:hAnsi="仿宋_GB2312" w:eastAsia="仿宋_GB2312" w:cs="仿宋_GB2312"/>
          <w:bCs/>
          <w:color w:val="auto"/>
          <w:kern w:val="1"/>
          <w:sz w:val="32"/>
          <w:szCs w:val="32"/>
          <w:highlight w:val="none"/>
          <w:lang w:val="en-US" w:eastAsia="zh-CN"/>
        </w:rPr>
        <w:t>3.</w:t>
      </w:r>
      <w:r>
        <w:rPr>
          <w:rFonts w:hint="eastAsia" w:ascii="仿宋_GB2312" w:hAnsi="仿宋_GB2312" w:eastAsia="仿宋_GB2312" w:cs="仿宋_GB2312"/>
          <w:bCs/>
          <w:color w:val="auto"/>
          <w:kern w:val="1"/>
          <w:sz w:val="32"/>
          <w:szCs w:val="32"/>
          <w:highlight w:val="yellow"/>
          <w:lang w:val="en-US" w:eastAsia="zh-CN"/>
        </w:rPr>
        <w:t>凡参与此项目的投标方，默认已经完全理解并同意《公平竞争承诺书》中所署全部内容。本承诺书无须签署，与投标文件同步生效。</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color w:val="FF0000"/>
          <w:kern w:val="1"/>
          <w:sz w:val="32"/>
          <w:szCs w:val="32"/>
          <w:highlight w:val="none"/>
          <w:lang w:val="en-US" w:eastAsia="zh-CN"/>
        </w:rPr>
      </w:pPr>
      <w:r>
        <w:rPr>
          <w:rFonts w:hint="eastAsia" w:ascii="仿宋_GB2312" w:hAnsi="仿宋_GB2312" w:eastAsia="仿宋_GB2312" w:cs="仿宋_GB2312"/>
          <w:bCs/>
          <w:color w:val="auto"/>
          <w:kern w:val="1"/>
          <w:sz w:val="32"/>
          <w:szCs w:val="32"/>
          <w:highlight w:val="none"/>
          <w:lang w:val="en-US" w:eastAsia="zh-CN"/>
        </w:rPr>
        <w:t>4.本次采购新进及推荐供应商均需进行资料评审。采取资格预审的资审合格后方可报价；采取资格后审的，开标后资审不符合要求的，其报价无效，做废标处理。</w:t>
      </w:r>
    </w:p>
    <w:p>
      <w:pPr>
        <w:keepNext w:val="0"/>
        <w:keepLines w:val="0"/>
        <w:pageBreakBefore w:val="0"/>
        <w:widowControl/>
        <w:shd w:val="clear" w:color="auto" w:fill="auto"/>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 w:val="0"/>
          <w:bCs/>
          <w:color w:val="auto"/>
          <w:kern w:val="1"/>
          <w:sz w:val="32"/>
          <w:szCs w:val="32"/>
          <w:highlight w:val="none"/>
          <w:lang w:val="en-US" w:eastAsia="zh-CN"/>
        </w:rPr>
      </w:pPr>
      <w:r>
        <w:rPr>
          <w:rFonts w:hint="eastAsia" w:ascii="仿宋" w:hAnsi="仿宋" w:eastAsia="仿宋" w:cs="仿宋"/>
          <w:sz w:val="32"/>
          <w:szCs w:val="32"/>
          <w:highlight w:val="none"/>
          <w:lang w:val="en-US" w:eastAsia="zh-CN"/>
        </w:rPr>
        <w:t>5.</w:t>
      </w:r>
      <w:r>
        <w:rPr>
          <w:rFonts w:hint="eastAsia" w:ascii="仿宋_GB2312" w:hAnsi="仿宋_GB2312" w:eastAsia="仿宋_GB2312" w:cs="仿宋_GB2312"/>
          <w:b w:val="0"/>
          <w:bCs/>
          <w:color w:val="auto"/>
          <w:kern w:val="1"/>
          <w:sz w:val="32"/>
          <w:szCs w:val="32"/>
          <w:highlight w:val="none"/>
          <w:lang w:val="en-US" w:eastAsia="zh-CN"/>
        </w:rPr>
        <w:t>准入条件有约定的以准入条件为准。</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6.成交方严禁转包，一经发现，甲方将终止合同，由此产生的一切损失由成交方负责。</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7.以标书为单位，</w:t>
      </w:r>
      <w:r>
        <w:rPr>
          <w:rFonts w:hint="eastAsia" w:ascii="仿宋" w:hAnsi="仿宋" w:eastAsia="仿宋" w:cs="仿宋"/>
          <w:sz w:val="32"/>
          <w:szCs w:val="32"/>
          <w:lang w:val="en-US" w:eastAsia="zh-CN"/>
        </w:rPr>
        <w:t>投标品种必须覆盖单份标书100%</w:t>
      </w:r>
      <w:r>
        <w:rPr>
          <w:rFonts w:hint="eastAsia" w:ascii="仿宋" w:hAnsi="仿宋" w:eastAsia="仿宋" w:cs="仿宋"/>
          <w:sz w:val="32"/>
          <w:szCs w:val="32"/>
          <w:highlight w:val="none"/>
          <w:lang w:val="en-US" w:eastAsia="zh-CN"/>
        </w:rPr>
        <w:t>，投满全量的标书方视为有效（特殊情况除外）</w:t>
      </w:r>
      <w:r>
        <w:rPr>
          <w:rFonts w:hint="eastAsia" w:ascii="仿宋" w:hAnsi="仿宋" w:eastAsia="仿宋" w:cs="仿宋"/>
          <w:sz w:val="32"/>
          <w:szCs w:val="32"/>
          <w:lang w:val="en-US" w:eastAsia="zh-CN"/>
        </w:rPr>
        <w:t>。</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8.功能承包项目的报价，投标方需上传功能承包项目的分项报价表,若无上传，报价无效。</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bCs/>
          <w:sz w:val="32"/>
          <w:szCs w:val="32"/>
        </w:rPr>
      </w:pPr>
      <w:r>
        <w:rPr>
          <w:rFonts w:hint="eastAsia" w:ascii="仿宋" w:hAnsi="仿宋" w:eastAsia="仿宋" w:cs="仿宋"/>
          <w:sz w:val="32"/>
          <w:szCs w:val="32"/>
          <w:lang w:val="en-US" w:eastAsia="zh-CN"/>
        </w:rPr>
        <w:t>9.同一供应商同一品种的报价应一致，</w:t>
      </w:r>
      <w:r>
        <w:rPr>
          <w:rFonts w:hint="eastAsia" w:ascii="仿宋_GB2312" w:hAnsi="仿宋_GB2312" w:eastAsia="仿宋_GB2312" w:cs="仿宋_GB2312"/>
          <w:bCs/>
          <w:sz w:val="32"/>
          <w:szCs w:val="32"/>
        </w:rPr>
        <w:t>价格不一致的</w:t>
      </w:r>
      <w:r>
        <w:rPr>
          <w:rFonts w:hint="eastAsia" w:ascii="仿宋_GB2312" w:hAnsi="仿宋_GB2312" w:eastAsia="仿宋_GB2312" w:cs="仿宋_GB2312"/>
          <w:bCs/>
          <w:sz w:val="32"/>
          <w:szCs w:val="32"/>
          <w:lang w:eastAsia="zh-CN"/>
        </w:rPr>
        <w:t>成交</w:t>
      </w:r>
      <w:r>
        <w:rPr>
          <w:rFonts w:hint="eastAsia" w:ascii="仿宋_GB2312" w:hAnsi="仿宋_GB2312" w:eastAsia="仿宋_GB2312" w:cs="仿宋_GB2312"/>
          <w:bCs/>
          <w:sz w:val="32"/>
          <w:szCs w:val="32"/>
        </w:rPr>
        <w:t>时取最低价（特殊情况例外）。</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sz w:val="32"/>
          <w:szCs w:val="32"/>
          <w:highlight w:val="none"/>
        </w:rPr>
        <w:t>本次采购对</w:t>
      </w:r>
      <w:r>
        <w:rPr>
          <w:rFonts w:hint="eastAsia" w:ascii="仿宋_GB2312" w:hAnsi="仿宋_GB2312" w:eastAsia="仿宋_GB2312" w:cs="仿宋_GB2312"/>
          <w:sz w:val="32"/>
          <w:szCs w:val="32"/>
          <w:highlight w:val="none"/>
          <w:lang w:eastAsia="zh-CN"/>
        </w:rPr>
        <w:t>中标</w:t>
      </w:r>
      <w:r>
        <w:rPr>
          <w:rFonts w:hint="eastAsia" w:ascii="仿宋_GB2312" w:hAnsi="仿宋_GB2312" w:eastAsia="仿宋_GB2312" w:cs="仿宋_GB2312"/>
          <w:sz w:val="32"/>
          <w:szCs w:val="32"/>
          <w:highlight w:val="none"/>
        </w:rPr>
        <w:t>单位收取合同履约保证金，供应商签订合同前将履约保证金直接存入指定银行账户。收取标准为：</w:t>
      </w:r>
      <w:r>
        <w:rPr>
          <w:rFonts w:hint="eastAsia" w:ascii="仿宋_GB2312" w:hAnsi="仿宋_GB2312" w:eastAsia="仿宋_GB2312" w:cs="仿宋_GB2312"/>
          <w:sz w:val="32"/>
          <w:szCs w:val="32"/>
          <w:highlight w:val="none"/>
          <w:lang w:eastAsia="zh-CN"/>
        </w:rPr>
        <w:t>按合同金额（含税）的5%进行收取，履约保证金按千位数向上取整，最高收取限额300万元。</w:t>
      </w:r>
    </w:p>
    <w:p>
      <w:pPr>
        <w:keepNext w:val="0"/>
        <w:keepLines w:val="0"/>
        <w:pageBreakBefore w:val="0"/>
        <w:widowControl/>
        <w:kinsoku/>
        <w:wordWrap/>
        <w:overflowPunct/>
        <w:topLinePunct w:val="0"/>
        <w:autoSpaceDE/>
        <w:autoSpaceDN/>
        <w:bidi w:val="0"/>
        <w:spacing w:line="360" w:lineRule="auto"/>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包装物的要求</w:t>
      </w:r>
    </w:p>
    <w:p>
      <w:pPr>
        <w:widowControl/>
        <w:spacing w:line="560" w:lineRule="atLeas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对易燃易爆易制毒等危险化学品及普通试剂药品均由</w:t>
      </w:r>
      <w:r>
        <w:rPr>
          <w:rFonts w:hint="eastAsia" w:ascii="仿宋_GB2312" w:hAnsi="仿宋_GB2312" w:eastAsia="仿宋_GB2312" w:cs="仿宋_GB2312"/>
          <w:bCs/>
          <w:sz w:val="32"/>
          <w:szCs w:val="32"/>
          <w:lang w:eastAsia="zh-CN"/>
        </w:rPr>
        <w:t>供应商</w:t>
      </w:r>
      <w:r>
        <w:rPr>
          <w:rFonts w:hint="eastAsia" w:ascii="仿宋_GB2312" w:hAnsi="仿宋_GB2312" w:eastAsia="仿宋_GB2312" w:cs="仿宋_GB2312"/>
          <w:bCs/>
          <w:sz w:val="32"/>
          <w:szCs w:val="32"/>
        </w:rPr>
        <w:t>负责包装运输，</w:t>
      </w:r>
      <w:r>
        <w:rPr>
          <w:rFonts w:hint="eastAsia" w:ascii="仿宋_GB2312" w:hAnsi="仿宋_GB2312" w:eastAsia="仿宋_GB2312" w:cs="仿宋_GB2312"/>
          <w:bCs/>
          <w:sz w:val="32"/>
          <w:szCs w:val="32"/>
          <w:lang w:val="en-US" w:eastAsia="zh-CN"/>
        </w:rPr>
        <w:t>需要回收的</w:t>
      </w:r>
      <w:r>
        <w:rPr>
          <w:rFonts w:hint="eastAsia" w:ascii="仿宋_GB2312" w:hAnsi="仿宋_GB2312" w:eastAsia="仿宋_GB2312" w:cs="仿宋_GB2312"/>
          <w:bCs/>
          <w:sz w:val="32"/>
          <w:szCs w:val="32"/>
        </w:rPr>
        <w:t>负责回</w:t>
      </w:r>
      <w:r>
        <w:rPr>
          <w:rFonts w:hint="eastAsia" w:ascii="仿宋_GB2312" w:hAnsi="仿宋_GB2312" w:eastAsia="仿宋_GB2312" w:cs="仿宋_GB2312"/>
          <w:bCs/>
          <w:color w:val="auto"/>
          <w:sz w:val="32"/>
          <w:szCs w:val="32"/>
        </w:rPr>
        <w:t>收包装物。本次</w:t>
      </w:r>
      <w:r>
        <w:rPr>
          <w:rFonts w:hint="eastAsia" w:ascii="仿宋_GB2312" w:hAnsi="仿宋_GB2312" w:eastAsia="仿宋_GB2312" w:cs="仿宋_GB2312"/>
          <w:bCs/>
          <w:color w:val="auto"/>
          <w:sz w:val="32"/>
          <w:szCs w:val="32"/>
          <w:lang w:val="en-US" w:eastAsia="zh-CN"/>
        </w:rPr>
        <w:t>采购</w:t>
      </w:r>
      <w:r>
        <w:rPr>
          <w:rFonts w:hint="eastAsia" w:ascii="仿宋_GB2312" w:hAnsi="仿宋_GB2312" w:eastAsia="仿宋_GB2312" w:cs="仿宋_GB2312"/>
          <w:bCs/>
          <w:sz w:val="32"/>
          <w:szCs w:val="32"/>
        </w:rPr>
        <w:t>品种按国家相关规定，包装物品必须标识清晰，不宜脱落，在包装上必须标明：易燃易爆易制毒危险化学品等有特殊标识、品名、规格、执行标准（技术条件）、牌号、生产单位名称等。</w:t>
      </w:r>
    </w:p>
    <w:p>
      <w:pPr>
        <w:widowControl/>
        <w:spacing w:line="560" w:lineRule="atLeast"/>
        <w:ind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sz w:val="32"/>
          <w:szCs w:val="32"/>
          <w:lang w:val="en-US" w:eastAsia="zh-CN"/>
        </w:rPr>
        <w:t>12.有效</w:t>
      </w:r>
      <w:r>
        <w:rPr>
          <w:rFonts w:hint="eastAsia" w:ascii="仿宋_GB2312" w:hAnsi="仿宋_GB2312" w:eastAsia="仿宋_GB2312" w:cs="仿宋_GB2312"/>
          <w:bCs/>
          <w:color w:val="auto"/>
          <w:sz w:val="32"/>
          <w:szCs w:val="32"/>
          <w:lang w:val="en-US" w:eastAsia="zh-CN"/>
        </w:rPr>
        <w:t>期：合同生效起-2026年12月31日。</w:t>
      </w:r>
    </w:p>
    <w:p>
      <w:pPr>
        <w:widowControl/>
        <w:spacing w:line="560" w:lineRule="atLeast"/>
        <w:ind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（二）评标方式及规则</w:t>
      </w:r>
    </w:p>
    <w:p>
      <w:pPr>
        <w:widowControl/>
        <w:spacing w:line="560" w:lineRule="atLeast"/>
        <w:ind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1.经评审的最低投标价法，非组合标,1家保供，全量成交。</w:t>
      </w:r>
    </w:p>
    <w:p>
      <w:pPr>
        <w:widowControl/>
        <w:spacing w:line="560" w:lineRule="atLeast"/>
        <w:ind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lang w:val="en-US" w:eastAsia="zh-CN"/>
        </w:rPr>
        <w:t>2.</w:t>
      </w:r>
      <w:r>
        <w:rPr>
          <w:rFonts w:hint="eastAsia" w:ascii="仿宋_GB2312" w:hAnsi="仿宋_GB2312" w:eastAsia="仿宋_GB2312" w:cs="仿宋_GB2312"/>
          <w:bCs/>
          <w:color w:val="auto"/>
          <w:sz w:val="32"/>
          <w:szCs w:val="32"/>
          <w:highlight w:val="none"/>
          <w:lang w:val="en-US" w:eastAsia="zh-CN"/>
        </w:rPr>
        <w:t>若投标家数不足3家，则公开询比失败，经确认后，投标家数2家转为单轮谈判采购，投标家数1家转直接采购，不再另行制定采购方案。</w:t>
      </w:r>
    </w:p>
    <w:p>
      <w:pPr>
        <w:widowControl/>
        <w:spacing w:line="560" w:lineRule="atLeas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highlight w:val="none"/>
          <w:lang w:val="en-US" w:eastAsia="zh-CN"/>
        </w:rPr>
        <w:t>3.</w:t>
      </w:r>
      <w:r>
        <w:rPr>
          <w:rFonts w:hint="eastAsia" w:ascii="仿宋_GB2312" w:hAnsi="仿宋_GB2312" w:eastAsia="仿宋_GB2312" w:cs="仿宋_GB2312"/>
          <w:bCs/>
          <w:color w:val="auto"/>
          <w:sz w:val="32"/>
          <w:szCs w:val="32"/>
        </w:rPr>
        <w:t>评标规则（</w:t>
      </w:r>
      <w:r>
        <w:rPr>
          <w:rFonts w:hint="eastAsia" w:ascii="仿宋_GB2312" w:hAnsi="仿宋_GB2312" w:eastAsia="仿宋_GB2312" w:cs="仿宋_GB2312"/>
          <w:bCs/>
          <w:color w:val="auto"/>
          <w:sz w:val="32"/>
          <w:szCs w:val="32"/>
          <w:lang w:val="en-US" w:eastAsia="zh-CN"/>
        </w:rPr>
        <w:t>两</w:t>
      </w:r>
      <w:r>
        <w:rPr>
          <w:rFonts w:hint="eastAsia" w:ascii="仿宋_GB2312" w:hAnsi="仿宋_GB2312" w:eastAsia="仿宋_GB2312" w:cs="仿宋_GB2312"/>
          <w:bCs/>
          <w:color w:val="auto"/>
          <w:sz w:val="32"/>
          <w:szCs w:val="32"/>
        </w:rPr>
        <w:t>种模式，</w:t>
      </w:r>
      <w:r>
        <w:rPr>
          <w:rFonts w:hint="eastAsia" w:ascii="仿宋_GB2312" w:hAnsi="仿宋_GB2312" w:eastAsia="仿宋_GB2312" w:cs="仿宋_GB2312"/>
          <w:bCs/>
          <w:color w:val="auto"/>
          <w:sz w:val="32"/>
          <w:szCs w:val="32"/>
          <w:lang w:eastAsia="zh-CN"/>
        </w:rPr>
        <w:t>按评标方式</w:t>
      </w:r>
      <w:r>
        <w:rPr>
          <w:rFonts w:hint="eastAsia" w:ascii="仿宋_GB2312" w:hAnsi="仿宋_GB2312" w:eastAsia="仿宋_GB2312" w:cs="仿宋_GB2312"/>
          <w:bCs/>
          <w:color w:val="auto"/>
          <w:sz w:val="32"/>
          <w:szCs w:val="32"/>
        </w:rPr>
        <w:t>选择</w:t>
      </w:r>
      <w:r>
        <w:rPr>
          <w:rFonts w:hint="eastAsia" w:ascii="仿宋_GB2312" w:hAnsi="仿宋_GB2312" w:eastAsia="仿宋_GB2312" w:cs="仿宋_GB2312"/>
          <w:bCs/>
          <w:color w:val="auto"/>
          <w:sz w:val="32"/>
          <w:szCs w:val="32"/>
          <w:lang w:eastAsia="zh-CN"/>
        </w:rPr>
        <w:t>其中之一</w:t>
      </w:r>
      <w:r>
        <w:rPr>
          <w:rFonts w:hint="eastAsia" w:ascii="仿宋_GB2312" w:hAnsi="仿宋_GB2312" w:eastAsia="仿宋_GB2312" w:cs="仿宋_GB2312"/>
          <w:bCs/>
          <w:color w:val="auto"/>
          <w:sz w:val="32"/>
          <w:szCs w:val="32"/>
        </w:rPr>
        <w:t>）</w:t>
      </w:r>
    </w:p>
    <w:p>
      <w:pPr>
        <w:widowControl/>
        <w:spacing w:line="560" w:lineRule="atLeas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auto"/>
          <w:sz w:val="32"/>
          <w:szCs w:val="32"/>
          <w:lang w:val="en-US" w:eastAsia="zh-CN"/>
        </w:rPr>
        <w:t>3.1</w:t>
      </w:r>
      <w:r>
        <w:rPr>
          <w:rFonts w:hint="eastAsia" w:ascii="仿宋_GB2312" w:hAnsi="仿宋_GB2312" w:eastAsia="仿宋_GB2312" w:cs="仿宋_GB2312"/>
          <w:bCs/>
          <w:color w:val="auto"/>
          <w:sz w:val="32"/>
          <w:szCs w:val="32"/>
        </w:rPr>
        <w:t>非组合标采用经评审的最低投标价法评标的</w:t>
      </w:r>
      <w:r>
        <w:rPr>
          <w:rFonts w:hint="eastAsia" w:ascii="仿宋_GB2312" w:hAnsi="仿宋_GB2312" w:eastAsia="仿宋_GB2312" w:cs="仿宋_GB2312"/>
          <w:bCs/>
          <w:color w:val="auto"/>
          <w:sz w:val="32"/>
          <w:szCs w:val="32"/>
          <w:lang w:eastAsia="zh-CN"/>
        </w:rPr>
        <w:t>成交</w:t>
      </w:r>
      <w:r>
        <w:rPr>
          <w:rFonts w:hint="eastAsia" w:ascii="仿宋_GB2312" w:hAnsi="仿宋_GB2312" w:eastAsia="仿宋_GB2312" w:cs="仿宋_GB2312"/>
          <w:bCs/>
          <w:sz w:val="32"/>
          <w:szCs w:val="32"/>
        </w:rPr>
        <w:t>价格及</w:t>
      </w:r>
      <w:r>
        <w:rPr>
          <w:rFonts w:hint="eastAsia" w:ascii="仿宋_GB2312" w:hAnsi="仿宋_GB2312" w:eastAsia="仿宋_GB2312" w:cs="仿宋_GB2312"/>
          <w:bCs/>
          <w:sz w:val="32"/>
          <w:szCs w:val="32"/>
          <w:lang w:eastAsia="zh-CN"/>
        </w:rPr>
        <w:t>成交</w:t>
      </w:r>
      <w:r>
        <w:rPr>
          <w:rFonts w:hint="eastAsia" w:ascii="仿宋_GB2312" w:hAnsi="仿宋_GB2312" w:eastAsia="仿宋_GB2312" w:cs="仿宋_GB2312"/>
          <w:bCs/>
          <w:sz w:val="32"/>
          <w:szCs w:val="32"/>
        </w:rPr>
        <w:t>方确定</w:t>
      </w:r>
      <w:r>
        <w:rPr>
          <w:rFonts w:hint="eastAsia" w:ascii="仿宋_GB2312" w:hAnsi="仿宋_GB2312" w:eastAsia="仿宋_GB2312" w:cs="仿宋_GB2312"/>
          <w:bCs/>
          <w:sz w:val="32"/>
          <w:szCs w:val="32"/>
          <w:lang w:eastAsia="zh-CN"/>
        </w:rPr>
        <w:t>：</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1.1投标最低报价在采购预测价格范围之内的，采购预测价格范围内的最低报价为</w:t>
      </w:r>
      <w:r>
        <w:rPr>
          <w:rFonts w:hint="eastAsia" w:ascii="仿宋_GB2312" w:hAnsi="仿宋_GB2312" w:eastAsia="仿宋_GB2312" w:cs="仿宋_GB2312"/>
          <w:bCs/>
          <w:sz w:val="32"/>
          <w:szCs w:val="32"/>
          <w:lang w:eastAsia="zh-CN"/>
        </w:rPr>
        <w:t>成交</w:t>
      </w:r>
      <w:r>
        <w:rPr>
          <w:rFonts w:hint="eastAsia" w:ascii="仿宋_GB2312" w:hAnsi="仿宋_GB2312" w:eastAsia="仿宋_GB2312" w:cs="仿宋_GB2312"/>
          <w:bCs/>
          <w:sz w:val="32"/>
          <w:szCs w:val="32"/>
        </w:rPr>
        <w:t>价格，报价在采购预测价格范围内的唯一最低报价</w:t>
      </w:r>
      <w:r>
        <w:rPr>
          <w:rFonts w:hint="eastAsia" w:ascii="仿宋_GB2312" w:hAnsi="仿宋_GB2312" w:eastAsia="仿宋_GB2312" w:cs="仿宋_GB2312"/>
          <w:bCs/>
          <w:sz w:val="32"/>
          <w:szCs w:val="32"/>
          <w:lang w:eastAsia="zh-CN"/>
        </w:rPr>
        <w:t>供应商</w:t>
      </w:r>
      <w:r>
        <w:rPr>
          <w:rFonts w:hint="eastAsia" w:ascii="仿宋_GB2312" w:hAnsi="仿宋_GB2312" w:eastAsia="仿宋_GB2312" w:cs="仿宋_GB2312"/>
          <w:bCs/>
          <w:sz w:val="32"/>
          <w:szCs w:val="32"/>
        </w:rPr>
        <w:t>为</w:t>
      </w:r>
      <w:r>
        <w:rPr>
          <w:rFonts w:hint="eastAsia" w:ascii="仿宋_GB2312" w:hAnsi="仿宋_GB2312" w:eastAsia="仿宋_GB2312" w:cs="仿宋_GB2312"/>
          <w:bCs/>
          <w:sz w:val="32"/>
          <w:szCs w:val="32"/>
          <w:lang w:eastAsia="zh-CN"/>
        </w:rPr>
        <w:t>成交供应商</w:t>
      </w:r>
      <w:r>
        <w:rPr>
          <w:rFonts w:hint="eastAsia" w:ascii="仿宋_GB2312" w:hAnsi="仿宋_GB2312" w:eastAsia="仿宋_GB2312" w:cs="仿宋_GB2312"/>
          <w:bCs/>
          <w:sz w:val="32"/>
          <w:szCs w:val="32"/>
        </w:rPr>
        <w:t>。</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3.1.2投标最低报价在采购预测价格范围之外的，只与投标报价最低的有效投标方协商价格。</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3.2组合标采用经评审的最低投标价法评标的成交价格及成交方确定：</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lang w:val="en-US" w:eastAsia="zh-CN"/>
        </w:rPr>
        <w:t>3.2.1投标最低总报价在采购预测价格范围之内的成交价和成交方的确定：取采购预测价格范围内的最低总报价为成交价格，报价在采购预测价格范围内的唯一最低总报价供应商为成交供应商。</w:t>
      </w:r>
    </w:p>
    <w:p>
      <w:pPr>
        <w:widowControl/>
        <w:spacing w:line="560" w:lineRule="atLeast"/>
        <w:ind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3.2.2对于投标最低总报价在采购预测价格之外的，只与投标报价最低的有效投标方协商价格。</w:t>
      </w:r>
    </w:p>
    <w:p>
      <w:pPr>
        <w:widowControl/>
        <w:spacing w:line="560" w:lineRule="atLeast"/>
        <w:ind w:firstLine="640" w:firstLineChars="200"/>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3.3非组合标单项最低报价或组合标最低总报价多于一家时，按以下顺序确定成交供应商：首先有产品碳足迹认证或碳足迹报告的供应商、其次按照合格供应商优先、再次依据注册资金由多到少，如注册资金相同，则供应商重新报价，但报价不得超过原始报价，低价成交的原则确定成交方。</w:t>
      </w:r>
    </w:p>
    <w:p>
      <w:pPr>
        <w:widowControl/>
        <w:spacing w:line="560" w:lineRule="atLeast"/>
        <w:ind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3.4本次采购项目有效响应供应商自主优惠报价规则</w:t>
      </w:r>
    </w:p>
    <w:p>
      <w:pPr>
        <w:widowControl/>
        <w:spacing w:line="560" w:lineRule="atLeast"/>
        <w:ind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若有效响应供应商的最低报价（总价或单项价之一）超出预测价（对应总价或单项价）或最低报价供应商因资料评审不通过时（评审价格非最低报价，评委会为了有利于鞍钢降采，可以建议进行自主优惠事宜），由委托方代表与排序第一的拟成交人的自主优惠事宜发起自主优惠澄清，排序第一的拟成交人在招投标平台中填报自主优惠内容，委托方出具《自主优惠结果报告》（参与谈判人员签字），提交至招标公司项目经理，拟成交人自主优惠后的价格作为评审结果推送采购方定标。</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highlight w:val="none"/>
          <w:lang w:val="en-US" w:eastAsia="zh-CN"/>
        </w:rPr>
        <w:t>注：以下条款为上述两个</w:t>
      </w:r>
      <w:r>
        <w:rPr>
          <w:rFonts w:hint="eastAsia" w:ascii="仿宋_GB2312" w:hAnsi="仿宋_GB2312" w:eastAsia="仿宋_GB2312" w:cs="仿宋_GB2312"/>
          <w:bCs/>
          <w:sz w:val="32"/>
          <w:szCs w:val="32"/>
          <w:lang w:val="en-US" w:eastAsia="zh-CN"/>
        </w:rPr>
        <w:t>模板之后条款</w:t>
      </w:r>
    </w:p>
    <w:p>
      <w:pPr>
        <w:widowControl/>
        <w:spacing w:line="560" w:lineRule="atLeast"/>
        <w:ind w:firstLine="640" w:firstLineChars="200"/>
        <w:rPr>
          <w:rFonts w:hint="eastAsia" w:ascii="仿宋_GB2312" w:hAnsi="仿宋_GB2312" w:eastAsia="仿宋_GB2312" w:cs="仿宋_GB2312"/>
          <w:bCs/>
          <w:sz w:val="32"/>
          <w:szCs w:val="32"/>
          <w:highlight w:val="red"/>
          <w:lang w:val="en-US" w:eastAsia="zh-CN"/>
        </w:rPr>
      </w:pPr>
      <w:r>
        <w:rPr>
          <w:rFonts w:hint="eastAsia" w:ascii="仿宋_GB2312" w:hAnsi="仿宋_GB2312" w:eastAsia="仿宋_GB2312" w:cs="仿宋_GB2312"/>
          <w:bCs/>
          <w:sz w:val="32"/>
          <w:szCs w:val="32"/>
          <w:highlight w:val="none"/>
          <w:lang w:val="en-US" w:eastAsia="zh-CN"/>
        </w:rPr>
        <w:t>4跟标方确定规则（或跟标方：无）</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4.1成交价格及成交方确定后，对其</w:t>
      </w:r>
      <w:bookmarkStart w:id="0" w:name="_GoBack"/>
      <w:r>
        <w:rPr>
          <w:rFonts w:hint="eastAsia" w:ascii="仿宋_GB2312" w:hAnsi="仿宋_GB2312" w:eastAsia="仿宋_GB2312" w:cs="仿宋_GB2312"/>
          <w:bCs/>
          <w:sz w:val="32"/>
          <w:szCs w:val="32"/>
          <w:lang w:val="en-US" w:eastAsia="zh-CN"/>
        </w:rPr>
        <w:t>余投标方依次按如下项目确定跟标方顺序：原始报价由低到高、有产品碳足迹认证或碳足迹报告的、</w:t>
      </w:r>
      <w:r>
        <w:rPr>
          <w:rFonts w:hint="eastAsia" w:ascii="仿宋_GB2312" w:hAnsi="仿宋_GB2312" w:eastAsia="仿宋_GB2312" w:cs="仿宋_GB2312"/>
          <w:bCs/>
          <w:sz w:val="32"/>
          <w:szCs w:val="32"/>
          <w:lang w:val="en-US" w:eastAsia="zh-CN"/>
        </w:rPr>
        <w:t>注册资金由多到少。</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4.2跟标方必须是鞍钢股份有限公司现有合格供应商。本次采购，如成交方为原合格供应商，则原保供</w:t>
      </w:r>
      <w:bookmarkEnd w:id="0"/>
      <w:r>
        <w:rPr>
          <w:rFonts w:hint="eastAsia" w:ascii="仿宋_GB2312" w:hAnsi="仿宋_GB2312" w:eastAsia="仿宋_GB2312" w:cs="仿宋_GB2312"/>
          <w:bCs/>
          <w:sz w:val="32"/>
          <w:szCs w:val="32"/>
          <w:lang w:val="en-US" w:eastAsia="zh-CN"/>
        </w:rPr>
        <w:t>家数不变。</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4.3如成交方为本次报名的新进供应商，出于保供安全及平稳过渡衔接的需要，需要试验的品种，新进供应商不能独自成交，则原方案中保供家数增加一家（现有合格供应商）。</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4.4如鞍钢股份有限公司现有合格供应商不同意跟标，出于保供安全的需要，则由评标委员会根据实际情况可多次拟定另一个合理价格依次按确定的跟标方顺序与鞍钢股份有限公司现有合格供应商进行议价，直至满足保供家数。</w:t>
      </w:r>
    </w:p>
    <w:p>
      <w:pPr>
        <w:ind w:firstLine="627" w:firstLineChars="196"/>
        <w:rPr>
          <w:rFonts w:ascii="仿宋_GB2312" w:eastAsia="仿宋_GB2312"/>
          <w:sz w:val="32"/>
          <w:szCs w:val="32"/>
          <w:highlight w:val="green"/>
        </w:rPr>
      </w:pPr>
      <w:r>
        <w:rPr>
          <w:rFonts w:hint="eastAsia" w:ascii="仿宋_GB2312" w:hAnsi="仿宋_GB2312" w:eastAsia="仿宋_GB2312" w:cs="仿宋_GB2312"/>
          <w:bCs/>
          <w:sz w:val="32"/>
          <w:szCs w:val="32"/>
          <w:lang w:val="en-US" w:eastAsia="zh-CN"/>
        </w:rPr>
        <w:t>4.5优先跟标：无</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4.6未批量供货且首次以合格供应商资格参与投标的新试验合格供应商成交，出于保供安全的需要，原则上其成交量不大于招标量的80%（本次采购的新品种除外），剩余量则再增加一合格供应商保供。</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4.7如未批量供货且首次以合格供应商资格参与投标的新试验合格供应商成交价其余合格供应商不跟标，在新试验合格供应商同意100%供货且经判断能独自保产的情况下，可以不再考虑其成交量不大于招标量的80%的规定。</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4.8新试验合格供应商在第一个半年投标期内执行承诺书中承诺价的，虽投标量为100%，可按承诺价格执行承诺书上的承诺数量。在投标时，签订承诺书的供应商也可按承诺书上的承诺数量投标。</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4.9本次采购中对不需要试验的品种，当有新进供应商首次成交时，在不影响保供安全的前提下可全量成交。有保供安全风险的，原则上其成交量不大于招标量的80%（本次采购的新品种除外），剩余量则再增加一合格供应商保供。</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4.10本次采购中对需现场认证及试验的品种，先与成交的鞍钢股份有限公司现有合格供应商按采购结果签订合同，以保证生产稳定。</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lang w:val="en-US" w:eastAsia="zh-CN"/>
        </w:rPr>
        <w:t>4.10.</w:t>
      </w:r>
      <w:r>
        <w:rPr>
          <w:rFonts w:hint="eastAsia" w:ascii="仿宋_GB2312" w:hAnsi="仿宋_GB2312" w:eastAsia="仿宋_GB2312" w:cs="仿宋_GB2312"/>
          <w:bCs/>
          <w:sz w:val="32"/>
          <w:szCs w:val="32"/>
          <w:highlight w:val="none"/>
          <w:lang w:val="en-US" w:eastAsia="zh-CN"/>
        </w:rPr>
        <w:t>1成交品种需试验的，新进供应商的成交量原则上为不超过采购数量的10%</w:t>
      </w:r>
      <w:r>
        <w:rPr>
          <w:rFonts w:hint="eastAsia" w:ascii="仿宋_GB2312" w:hAnsi="仿宋_GB2312" w:eastAsia="仿宋_GB2312" w:cs="仿宋_GB2312"/>
          <w:bCs/>
          <w:color w:val="auto"/>
          <w:sz w:val="32"/>
          <w:szCs w:val="32"/>
          <w:highlight w:val="none"/>
          <w:lang w:val="en-US" w:eastAsia="zh-CN"/>
        </w:rPr>
        <w:t>（特殊情况，如降采需要可不受限制）</w:t>
      </w:r>
      <w:r>
        <w:rPr>
          <w:rFonts w:hint="eastAsia" w:ascii="仿宋_GB2312" w:hAnsi="仿宋_GB2312" w:eastAsia="仿宋_GB2312" w:cs="仿宋_GB2312"/>
          <w:bCs/>
          <w:sz w:val="32"/>
          <w:szCs w:val="32"/>
          <w:highlight w:val="none"/>
          <w:lang w:val="en-US" w:eastAsia="zh-CN"/>
        </w:rPr>
        <w:t>，成交同一品种规格的鞍钢股份有限公司现有合格供应商成交量为剩余量。</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lang w:val="en-US" w:eastAsia="zh-CN"/>
        </w:rPr>
        <w:t>4.10.2待新进供应商试验合格并转为合格供应商后，对新合格供应商具备批量供货之日起的剩余需求</w:t>
      </w:r>
      <w:r>
        <w:rPr>
          <w:rFonts w:hint="eastAsia" w:ascii="仿宋_GB2312" w:hAnsi="仿宋_GB2312" w:eastAsia="仿宋_GB2312" w:cs="仿宋_GB2312"/>
          <w:bCs/>
          <w:sz w:val="32"/>
          <w:szCs w:val="32"/>
          <w:highlight w:val="none"/>
          <w:lang w:val="en-US" w:eastAsia="zh-CN"/>
        </w:rPr>
        <w:t>量以合同修订的形</w:t>
      </w:r>
      <w:r>
        <w:rPr>
          <w:rFonts w:hint="eastAsia" w:ascii="仿宋_GB2312" w:hAnsi="仿宋_GB2312" w:eastAsia="仿宋_GB2312" w:cs="仿宋_GB2312"/>
          <w:bCs/>
          <w:sz w:val="32"/>
          <w:szCs w:val="32"/>
          <w:lang w:val="en-US" w:eastAsia="zh-CN"/>
        </w:rPr>
        <w:t>式（新进供应商增量，其它供应商减量）与</w:t>
      </w:r>
      <w:r>
        <w:rPr>
          <w:rFonts w:hint="eastAsia" w:ascii="仿宋_GB2312" w:hAnsi="仿宋_GB2312" w:eastAsia="仿宋_GB2312" w:cs="仿宋_GB2312"/>
          <w:bCs/>
          <w:sz w:val="32"/>
          <w:szCs w:val="32"/>
          <w:highlight w:val="none"/>
          <w:lang w:val="en-US" w:eastAsia="zh-CN"/>
        </w:rPr>
        <w:t>供应商签订</w:t>
      </w:r>
      <w:r>
        <w:rPr>
          <w:rFonts w:hint="eastAsia" w:ascii="仿宋" w:hAnsi="仿宋" w:eastAsia="仿宋" w:cs="仿宋"/>
          <w:bCs/>
          <w:sz w:val="32"/>
          <w:szCs w:val="32"/>
          <w:highlight w:val="none"/>
          <w:lang w:val="en-US" w:eastAsia="zh-CN"/>
        </w:rPr>
        <w:t>修订后</w:t>
      </w:r>
      <w:r>
        <w:rPr>
          <w:rFonts w:hint="eastAsia" w:ascii="仿宋_GB2312" w:hAnsi="仿宋_GB2312" w:eastAsia="仿宋_GB2312" w:cs="仿宋_GB2312"/>
          <w:bCs/>
          <w:sz w:val="32"/>
          <w:szCs w:val="32"/>
          <w:highlight w:val="none"/>
          <w:lang w:val="en-US" w:eastAsia="zh-CN"/>
        </w:rPr>
        <w:t>合同。</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4.10.3剩余需求量分配原则为：新进供应商与鞍钢股份有限公司现有合格供应商价格相同按5：5比例分配，价格不相同按8：2比例分配。</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4.11为降低采购成本，经使用厂确认同意，新进供应商所报品种实行以供代试的方式供货，则新进供应商可给予80%的招标量进行以供代试。供货结束后，使用单位出具试验总结，经主管部门评审后，按相关规定进行处理。</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4.12成交数量比例分配</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4.12.1无新进供应商进入</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当１家保供时全量成交；</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当２家保供价格一致时，成交量原则上按6:4比例分配。</w:t>
      </w:r>
    </w:p>
    <w:p>
      <w:pPr>
        <w:widowControl/>
        <w:spacing w:line="560" w:lineRule="atLeast"/>
        <w:ind w:firstLine="640" w:firstLineChars="200"/>
        <w:rPr>
          <w:rFonts w:hint="eastAsia"/>
          <w:highlight w:val="none"/>
          <w:lang w:val="en-US" w:eastAsia="zh-CN"/>
        </w:rPr>
      </w:pPr>
      <w:r>
        <w:rPr>
          <w:rFonts w:hint="eastAsia" w:ascii="仿宋_GB2312" w:hAnsi="仿宋_GB2312" w:eastAsia="仿宋_GB2312" w:cs="仿宋_GB2312"/>
          <w:bCs/>
          <w:sz w:val="32"/>
          <w:szCs w:val="32"/>
          <w:highlight w:val="none"/>
          <w:lang w:val="en-US" w:eastAsia="zh-CN"/>
        </w:rPr>
        <w:t>当２家保供价格不一致时，成交量原则上按8：2比例分配。</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当3家保供时，成交量原则上按5:3:2比例分配。</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4.12.2有新进供应商进入</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a) 当１家现有合格供应商保供时剩余量全量成交；</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b) 当２家现有合格供应商保供：价格相同时，剩余量成交量原则上按6:4比例分配；价格不同时剩余量成交量原则上按8:2比例分配。</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c) 当3家合格供应商保供时，剩余量原则上按5:3:2比例分配。</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4.13特殊要求</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对于多家保供的品种,为避免使用中频繁更换供货单位给生产造成波动或此品种供应商成交后需执行施工维护技术协议的，承包品种成交量按整月的整数倍进行分配；非承包品种成交量可根据品种特性按半月的整数倍进行分配。以上均按四舍五入原则实行。</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4.14其它未尽事宜，由评标委员会讨论确定。</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5.如原料价格变动超过5%，甲方有权重新议价或重新确定采购周期。</w:t>
      </w:r>
    </w:p>
    <w:p>
      <w:pPr>
        <w:widowControl/>
        <w:spacing w:line="560" w:lineRule="atLeast"/>
        <w:ind w:firstLine="640" w:firstLineChars="200"/>
        <w:rPr>
          <w:rFonts w:hint="eastAsia" w:ascii="仿宋_GB2312" w:hAnsi="仿宋_GB2312" w:eastAsia="仿宋_GB2312" w:cs="仿宋_GB2312"/>
          <w:bCs/>
          <w:sz w:val="32"/>
          <w:szCs w:val="32"/>
          <w:highlight w:val="green"/>
          <w:lang w:val="en-US" w:eastAsia="zh-CN"/>
        </w:rPr>
      </w:pPr>
      <w:r>
        <w:rPr>
          <w:rFonts w:hint="eastAsia" w:ascii="仿宋_GB2312" w:hAnsi="仿宋_GB2312" w:eastAsia="仿宋_GB2312" w:cs="仿宋_GB2312"/>
          <w:bCs/>
          <w:sz w:val="32"/>
          <w:szCs w:val="32"/>
          <w:lang w:val="en-US" w:eastAsia="zh-CN"/>
        </w:rPr>
        <w:t>6.需试验品种：无</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6.1新进供应商成交后，必须签订《承诺书》,承诺试验验证成功后，在下一个采购周期中按不高于承诺价的价格至少供应当次采购量的50%，方可进行下一步现场认证或推荐试验。新进供应商拒签承诺书的或新进供应商试验验证成功后，在下一个采购周期中未兑现承诺价格或投标量，该次投标无效，参照成交不签合同，取消其该品种的合格供应商资格,按《鞍钢集团供应商“黑名单判定标准”》处理。</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6.2供应商验证类试验品种施行试验保证金制度。保证金以所需试验品种当期采购总量的5% 按该供应商报价或成交价进行核算，</w:t>
      </w:r>
      <w:r>
        <w:rPr>
          <w:rFonts w:hint="eastAsia" w:ascii="仿宋_GB2312" w:hAnsi="仿宋_GB2312" w:eastAsia="仿宋_GB2312" w:cs="仿宋_GB2312"/>
          <w:bCs/>
          <w:sz w:val="32"/>
          <w:szCs w:val="32"/>
          <w:highlight w:val="none"/>
          <w:lang w:val="zh-CN" w:eastAsia="zh-CN"/>
        </w:rPr>
        <w:t>最低1万元，最高30万元</w:t>
      </w:r>
      <w:r>
        <w:rPr>
          <w:rFonts w:hint="eastAsia" w:ascii="仿宋_GB2312" w:hAnsi="仿宋_GB2312" w:eastAsia="仿宋_GB2312" w:cs="仿宋_GB2312"/>
          <w:bCs/>
          <w:sz w:val="32"/>
          <w:szCs w:val="32"/>
          <w:highlight w:val="none"/>
          <w:lang w:val="en-US" w:eastAsia="zh-CN"/>
        </w:rPr>
        <w:t>（精确到千元）。供应商进行试验前须将试验保证金足额预存到指定帐户，试验结束无异议，依据试验过程评价结果退还试验供应商试验保证金。试验供应商无原由不将试验保证金足额预存到指定帐户，视为自动放弃试验，取消其成交资格，参照成交不签合同，按《鞍钢集团供应商“黑名单判定标准”》处理。推荐试验后，由于供应商原因未进行试验，试验保证金不返还。</w:t>
      </w:r>
    </w:p>
    <w:p>
      <w:pPr>
        <w:widowControl/>
        <w:spacing w:line="560" w:lineRule="atLeas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7.如供应商进入现场服务，需列出现场服务人员数量，并遵守两级公司及采购中心相关管理规定。</w:t>
      </w:r>
    </w:p>
    <w:p>
      <w:pPr>
        <w:widowControl/>
        <w:spacing w:line="560" w:lineRule="atLeast"/>
        <w:ind w:firstLine="640" w:firstLineChars="200"/>
        <w:rPr>
          <w:rFonts w:hint="default"/>
          <w:lang w:val="en-US" w:eastAsia="zh-CN"/>
        </w:rPr>
      </w:pPr>
      <w:r>
        <w:rPr>
          <w:rFonts w:hint="eastAsia" w:ascii="仿宋_GB2312" w:hAnsi="仿宋_GB2312" w:eastAsia="仿宋_GB2312" w:cs="仿宋_GB2312"/>
          <w:bCs/>
          <w:sz w:val="32"/>
          <w:szCs w:val="32"/>
          <w:highlight w:val="none"/>
          <w:lang w:val="en-US" w:eastAsia="zh-CN"/>
        </w:rPr>
        <w:t>8.</w:t>
      </w:r>
      <w:r>
        <w:rPr>
          <w:rFonts w:hint="eastAsia" w:ascii="仿宋_GB2312" w:hAnsi="仿宋_GB2312" w:eastAsia="仿宋_GB2312" w:cs="仿宋_GB2312"/>
          <w:bCs/>
          <w:kern w:val="2"/>
          <w:sz w:val="32"/>
          <w:szCs w:val="32"/>
          <w:highlight w:val="none"/>
          <w:lang w:val="en-US" w:eastAsia="zh-CN" w:bidi="ar-SA"/>
        </w:rPr>
        <w:t>成交方按照采购结果与各采购组织签订合同或协议，在价格有效期内，成交方依据各采购组织实际需求送货、结算等。</w:t>
      </w:r>
    </w:p>
    <w:p>
      <w:pPr>
        <w:widowControl/>
        <w:spacing w:line="560" w:lineRule="atLeast"/>
        <w:ind w:firstLine="640" w:firstLineChars="20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highlight w:val="none"/>
          <w:lang w:val="en-US" w:eastAsia="zh-CN"/>
        </w:rPr>
        <w:t>9.本要求解释权归鞍钢股份物资采购中心。</w:t>
      </w:r>
    </w:p>
    <w:p>
      <w:pPr>
        <w:widowControl/>
        <w:spacing w:line="560" w:lineRule="atLeast"/>
        <w:ind w:firstLine="640" w:firstLineChars="200"/>
        <w:rPr>
          <w:rFonts w:hint="eastAsia" w:ascii="仿宋_GB2312" w:hAnsi="仿宋_GB2312" w:eastAsia="仿宋_GB2312" w:cs="仿宋_GB2312"/>
          <w:bCs/>
          <w:sz w:val="32"/>
          <w:szCs w:val="32"/>
          <w:lang w:val="en-US" w:eastAsia="zh-CN"/>
        </w:rPr>
      </w:pPr>
    </w:p>
    <w:p>
      <w:pPr>
        <w:widowControl/>
        <w:spacing w:line="560" w:lineRule="atLeast"/>
        <w:ind w:firstLine="640" w:firstLineChars="200"/>
        <w:rPr>
          <w:rFonts w:hint="default" w:ascii="仿宋_GB2312" w:hAnsi="仿宋_GB2312" w:eastAsia="仿宋_GB2312" w:cs="仿宋_GB2312"/>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515427"/>
    <w:multiLevelType w:val="singleLevel"/>
    <w:tmpl w:val="1051542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6114E0"/>
    <w:rsid w:val="0022660F"/>
    <w:rsid w:val="01784F30"/>
    <w:rsid w:val="01BC0825"/>
    <w:rsid w:val="04DA71D4"/>
    <w:rsid w:val="08AD42A3"/>
    <w:rsid w:val="0912103A"/>
    <w:rsid w:val="0A866444"/>
    <w:rsid w:val="0AE1082B"/>
    <w:rsid w:val="0BA43DD0"/>
    <w:rsid w:val="0C637A3E"/>
    <w:rsid w:val="0CB93F86"/>
    <w:rsid w:val="0E7920A9"/>
    <w:rsid w:val="0ECA2769"/>
    <w:rsid w:val="0ECE6845"/>
    <w:rsid w:val="0EE32EB2"/>
    <w:rsid w:val="11C1516C"/>
    <w:rsid w:val="1232329F"/>
    <w:rsid w:val="12AB6334"/>
    <w:rsid w:val="13225025"/>
    <w:rsid w:val="14177E67"/>
    <w:rsid w:val="144C1069"/>
    <w:rsid w:val="147B2176"/>
    <w:rsid w:val="15D73BB5"/>
    <w:rsid w:val="15FF795B"/>
    <w:rsid w:val="17504395"/>
    <w:rsid w:val="17A11B37"/>
    <w:rsid w:val="183B1F86"/>
    <w:rsid w:val="187957B2"/>
    <w:rsid w:val="18DD1749"/>
    <w:rsid w:val="19A764A5"/>
    <w:rsid w:val="1ADD6027"/>
    <w:rsid w:val="1C766363"/>
    <w:rsid w:val="1D4A2D6F"/>
    <w:rsid w:val="1F552C1D"/>
    <w:rsid w:val="21720503"/>
    <w:rsid w:val="22136E8E"/>
    <w:rsid w:val="231F7048"/>
    <w:rsid w:val="23EF38F6"/>
    <w:rsid w:val="255D7E3D"/>
    <w:rsid w:val="25D02223"/>
    <w:rsid w:val="264D4EDD"/>
    <w:rsid w:val="26FF1C0D"/>
    <w:rsid w:val="27811A6B"/>
    <w:rsid w:val="27C26EA2"/>
    <w:rsid w:val="27E424E7"/>
    <w:rsid w:val="28067B3A"/>
    <w:rsid w:val="289F0345"/>
    <w:rsid w:val="29315439"/>
    <w:rsid w:val="29B26938"/>
    <w:rsid w:val="2A43743F"/>
    <w:rsid w:val="2B553DF9"/>
    <w:rsid w:val="2CC030CD"/>
    <w:rsid w:val="2D237089"/>
    <w:rsid w:val="2E7A1FDE"/>
    <w:rsid w:val="2FD27B46"/>
    <w:rsid w:val="2FD87427"/>
    <w:rsid w:val="2FEE2822"/>
    <w:rsid w:val="30BC710A"/>
    <w:rsid w:val="31264BD4"/>
    <w:rsid w:val="312822AF"/>
    <w:rsid w:val="31EA78E1"/>
    <w:rsid w:val="323804E0"/>
    <w:rsid w:val="32F034B2"/>
    <w:rsid w:val="336F455C"/>
    <w:rsid w:val="34370445"/>
    <w:rsid w:val="349E018F"/>
    <w:rsid w:val="350F3D1B"/>
    <w:rsid w:val="353E19DD"/>
    <w:rsid w:val="35615A6E"/>
    <w:rsid w:val="35D3561E"/>
    <w:rsid w:val="369D78A7"/>
    <w:rsid w:val="38494EE6"/>
    <w:rsid w:val="392C770C"/>
    <w:rsid w:val="39DA7C5E"/>
    <w:rsid w:val="3A444AFA"/>
    <w:rsid w:val="3BCB7888"/>
    <w:rsid w:val="3BCF6741"/>
    <w:rsid w:val="3C754146"/>
    <w:rsid w:val="3C992900"/>
    <w:rsid w:val="3CD93B7D"/>
    <w:rsid w:val="3D213497"/>
    <w:rsid w:val="3D267066"/>
    <w:rsid w:val="3E0B5022"/>
    <w:rsid w:val="3E132EFF"/>
    <w:rsid w:val="3F3604F0"/>
    <w:rsid w:val="3F6B018A"/>
    <w:rsid w:val="3F924ECA"/>
    <w:rsid w:val="4005796A"/>
    <w:rsid w:val="403C0443"/>
    <w:rsid w:val="405E1AC5"/>
    <w:rsid w:val="411D3849"/>
    <w:rsid w:val="41FD037C"/>
    <w:rsid w:val="4332169E"/>
    <w:rsid w:val="43AE675E"/>
    <w:rsid w:val="43D75D84"/>
    <w:rsid w:val="44DF6305"/>
    <w:rsid w:val="472405BD"/>
    <w:rsid w:val="474055C4"/>
    <w:rsid w:val="48B30AA7"/>
    <w:rsid w:val="48D76565"/>
    <w:rsid w:val="4956409B"/>
    <w:rsid w:val="49CB5859"/>
    <w:rsid w:val="4CB46927"/>
    <w:rsid w:val="4DB22FD0"/>
    <w:rsid w:val="4EC44A6E"/>
    <w:rsid w:val="4ED8516A"/>
    <w:rsid w:val="4F085F68"/>
    <w:rsid w:val="50E15A70"/>
    <w:rsid w:val="516C60DB"/>
    <w:rsid w:val="51DF301D"/>
    <w:rsid w:val="54763B79"/>
    <w:rsid w:val="56542E4A"/>
    <w:rsid w:val="573438BF"/>
    <w:rsid w:val="58011D44"/>
    <w:rsid w:val="58451710"/>
    <w:rsid w:val="58591F7E"/>
    <w:rsid w:val="5A2E2BB4"/>
    <w:rsid w:val="5E4F47E2"/>
    <w:rsid w:val="5E7A0EFD"/>
    <w:rsid w:val="5EF23162"/>
    <w:rsid w:val="5F2312AF"/>
    <w:rsid w:val="60035CD9"/>
    <w:rsid w:val="601467B2"/>
    <w:rsid w:val="62543184"/>
    <w:rsid w:val="635A126E"/>
    <w:rsid w:val="63AC28BF"/>
    <w:rsid w:val="64404246"/>
    <w:rsid w:val="648A0CB7"/>
    <w:rsid w:val="662373EF"/>
    <w:rsid w:val="666114E0"/>
    <w:rsid w:val="67DA31F8"/>
    <w:rsid w:val="6819729B"/>
    <w:rsid w:val="68DB08C9"/>
    <w:rsid w:val="6A46719A"/>
    <w:rsid w:val="6BF6465A"/>
    <w:rsid w:val="6CD16F83"/>
    <w:rsid w:val="6D84321F"/>
    <w:rsid w:val="6E7447DE"/>
    <w:rsid w:val="6EBA4BF6"/>
    <w:rsid w:val="6FEF45AF"/>
    <w:rsid w:val="6FF537B1"/>
    <w:rsid w:val="706645BD"/>
    <w:rsid w:val="710068B0"/>
    <w:rsid w:val="71065C0E"/>
    <w:rsid w:val="72752C16"/>
    <w:rsid w:val="72766C53"/>
    <w:rsid w:val="7280442B"/>
    <w:rsid w:val="7281312E"/>
    <w:rsid w:val="72994A74"/>
    <w:rsid w:val="73AD4B65"/>
    <w:rsid w:val="73B54250"/>
    <w:rsid w:val="73CD0D8E"/>
    <w:rsid w:val="7400407A"/>
    <w:rsid w:val="740124EA"/>
    <w:rsid w:val="75A45168"/>
    <w:rsid w:val="7616206D"/>
    <w:rsid w:val="764713B1"/>
    <w:rsid w:val="769B49D4"/>
    <w:rsid w:val="76A11425"/>
    <w:rsid w:val="774A22A5"/>
    <w:rsid w:val="774F5887"/>
    <w:rsid w:val="77DA7286"/>
    <w:rsid w:val="79232D21"/>
    <w:rsid w:val="7B5769E0"/>
    <w:rsid w:val="7B673E00"/>
    <w:rsid w:val="7BD32074"/>
    <w:rsid w:val="7BFB492F"/>
    <w:rsid w:val="7C137CD1"/>
    <w:rsid w:val="7D263ECF"/>
    <w:rsid w:val="7DA312C1"/>
    <w:rsid w:val="7E220A33"/>
    <w:rsid w:val="7EE95735"/>
    <w:rsid w:val="7F061001"/>
    <w:rsid w:val="7F5E5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next w:val="4"/>
    <w:qFormat/>
    <w:uiPriority w:val="0"/>
    <w:rPr>
      <w:rFonts w:ascii="宋体" w:hAnsi="Courier New"/>
      <w:szCs w:val="20"/>
    </w:rPr>
  </w:style>
  <w:style w:type="paragraph" w:styleId="4">
    <w:name w:val="Block Text"/>
    <w:basedOn w:val="1"/>
    <w:qFormat/>
    <w:uiPriority w:val="0"/>
    <w:pPr>
      <w:widowControl/>
      <w:spacing w:line="360" w:lineRule="auto"/>
      <w:ind w:left="432" w:right="-1"/>
      <w:jc w:val="left"/>
    </w:pPr>
    <w:rPr>
      <w:rFonts w:ascii="宋体" w:hAnsi="宋体"/>
      <w:kern w:val="0"/>
      <w:sz w:val="24"/>
    </w:rPr>
  </w:style>
  <w:style w:type="paragraph" w:styleId="5">
    <w:name w:val="annotation text"/>
    <w:basedOn w:val="1"/>
    <w:qFormat/>
    <w:uiPriority w:val="0"/>
    <w:pPr>
      <w:jc w:val="left"/>
    </w:p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Char"/>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6</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2024-11-22T02:48:00Z</dcterms:created>
  <dc:creator>Administrator</dc:creator>
  <cp:lastModifiedBy>Administrator</cp:lastModifiedBy>
  <dcterms:modified xsi:type="dcterms:W3CDTF">2026-07-29T02:51:37Z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A3EF05387E76444CABD35900057DF27D</vt:lpwstr>
  </property>
</Properties>
</file>