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B2618">
      <w:pPr>
        <w:spacing w:line="500" w:lineRule="exact"/>
        <w:jc w:val="both"/>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w:t>
      </w:r>
    </w:p>
    <w:p w14:paraId="21EDF6F6">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F61DD21">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52E35C09">
      <w:pPr>
        <w:pStyle w:val="6"/>
        <w:jc w:val="both"/>
        <w:rPr>
          <w:color w:val="000000" w:themeColor="text1"/>
          <w:lang w:eastAsia="zh-Hans"/>
          <w14:textFill>
            <w14:solidFill>
              <w14:schemeClr w14:val="tx1"/>
            </w14:solidFill>
          </w14:textFill>
        </w:rPr>
      </w:pPr>
    </w:p>
    <w:p w14:paraId="4D0A3E1D">
      <w:pPr>
        <w:rPr>
          <w:color w:val="000000" w:themeColor="text1"/>
          <w:lang w:eastAsia="zh-Hans"/>
          <w14:textFill>
            <w14:solidFill>
              <w14:schemeClr w14:val="tx1"/>
            </w14:solidFill>
          </w14:textFill>
        </w:rPr>
      </w:pPr>
    </w:p>
    <w:p w14:paraId="4DF81416">
      <w:pPr>
        <w:pStyle w:val="8"/>
        <w:rPr>
          <w:color w:val="000000" w:themeColor="text1"/>
          <w:lang w:eastAsia="zh-Hans"/>
          <w14:textFill>
            <w14:solidFill>
              <w14:schemeClr w14:val="tx1"/>
            </w14:solidFill>
          </w14:textFill>
        </w:rPr>
      </w:pPr>
    </w:p>
    <w:p w14:paraId="24C1664A">
      <w:pPr>
        <w:pStyle w:val="9"/>
        <w:ind w:firstLine="210"/>
        <w:rPr>
          <w:color w:val="000000" w:themeColor="text1"/>
          <w:lang w:eastAsia="zh-Hans"/>
          <w14:textFill>
            <w14:solidFill>
              <w14:schemeClr w14:val="tx1"/>
            </w14:solidFill>
          </w14:textFill>
        </w:rPr>
      </w:pPr>
    </w:p>
    <w:p w14:paraId="01D1E2FC">
      <w:pPr>
        <w:pStyle w:val="9"/>
        <w:ind w:firstLine="210"/>
        <w:rPr>
          <w:color w:val="000000" w:themeColor="text1"/>
          <w:lang w:eastAsia="zh-Hans"/>
          <w14:textFill>
            <w14:solidFill>
              <w14:schemeClr w14:val="tx1"/>
            </w14:solidFill>
          </w14:textFill>
        </w:rPr>
      </w:pPr>
    </w:p>
    <w:p w14:paraId="656CF4D5">
      <w:pPr>
        <w:pStyle w:val="9"/>
        <w:ind w:firstLine="210"/>
        <w:rPr>
          <w:color w:val="000000" w:themeColor="text1"/>
          <w:lang w:eastAsia="zh-Hans"/>
          <w14:textFill>
            <w14:solidFill>
              <w14:schemeClr w14:val="tx1"/>
            </w14:solidFill>
          </w14:textFill>
        </w:rPr>
      </w:pPr>
    </w:p>
    <w:p w14:paraId="4EB996DE">
      <w:pPr>
        <w:pStyle w:val="6"/>
        <w:jc w:val="center"/>
        <w:rPr>
          <w:rFonts w:hint="eastAsia" w:ascii="黑体" w:hAnsi="黑体" w:eastAsia="黑体" w:cs="黑体"/>
          <w:b w:val="0"/>
          <w:bCs/>
          <w:color w:val="000000" w:themeColor="text1"/>
          <w:sz w:val="56"/>
          <w:szCs w:val="56"/>
          <w:lang w:eastAsia="zh-CN"/>
          <w14:textFill>
            <w14:solidFill>
              <w14:schemeClr w14:val="tx1"/>
            </w14:solidFill>
          </w14:textFill>
        </w:rPr>
      </w:pPr>
      <w:r>
        <w:rPr>
          <w:rFonts w:hint="eastAsia" w:ascii="宋体" w:hAnsi="宋体" w:eastAsia="宋体" w:cs="宋体"/>
          <w:b/>
          <w:bCs w:val="0"/>
          <w:color w:val="000000" w:themeColor="text1"/>
          <w:sz w:val="48"/>
          <w:szCs w:val="48"/>
          <w:lang w:eastAsia="zh-Hans"/>
          <w14:textFill>
            <w14:solidFill>
              <w14:schemeClr w14:val="tx1"/>
            </w14:solidFill>
          </w14:textFill>
        </w:rPr>
        <w:t>采购</w:t>
      </w:r>
      <w:r>
        <w:rPr>
          <w:rFonts w:hint="eastAsia" w:ascii="宋体" w:hAnsi="宋体" w:eastAsia="宋体" w:cs="宋体"/>
          <w:b/>
          <w:bCs w:val="0"/>
          <w:color w:val="000000" w:themeColor="text1"/>
          <w:sz w:val="48"/>
          <w:szCs w:val="48"/>
          <w14:textFill>
            <w14:solidFill>
              <w14:schemeClr w14:val="tx1"/>
            </w14:solidFill>
          </w14:textFill>
        </w:rPr>
        <w:t>合同</w:t>
      </w:r>
    </w:p>
    <w:p w14:paraId="5A5C35F3">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1092B48">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493ADE18">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76B1F71">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1818BBF5">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45A8688D">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660B3D69">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52E1A6DC">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AFA1027">
      <w:pPr>
        <w:spacing w:line="500" w:lineRule="exact"/>
        <w:jc w:val="center"/>
        <w:rPr>
          <w:rFonts w:hint="eastAsia" w:ascii="仿宋" w:hAnsi="仿宋" w:eastAsia="仿宋" w:cs="仿宋"/>
          <w:b/>
          <w:bCs/>
          <w:color w:val="000000" w:themeColor="text1"/>
          <w:sz w:val="28"/>
          <w:szCs w:val="28"/>
          <w14:textFill>
            <w14:solidFill>
              <w14:schemeClr w14:val="tx1"/>
            </w14:solidFill>
          </w14:textFill>
        </w:rPr>
      </w:pPr>
    </w:p>
    <w:p w14:paraId="04D460C9">
      <w:pPr>
        <w:spacing w:line="500" w:lineRule="exact"/>
        <w:jc w:val="both"/>
        <w:rPr>
          <w:rFonts w:hint="eastAsia" w:ascii="仿宋" w:hAnsi="仿宋" w:eastAsia="仿宋" w:cs="仿宋"/>
          <w:b/>
          <w:bCs/>
          <w:color w:val="000000" w:themeColor="text1"/>
          <w:sz w:val="28"/>
          <w:szCs w:val="28"/>
          <w:lang w:eastAsia="zh-CN"/>
          <w14:textFill>
            <w14:solidFill>
              <w14:schemeClr w14:val="tx1"/>
            </w14:solidFill>
          </w14:textFill>
        </w:rPr>
      </w:pPr>
    </w:p>
    <w:p w14:paraId="1CB1B3A7">
      <w:pPr>
        <w:spacing w:line="500" w:lineRule="exact"/>
        <w:ind w:firstLine="1680" w:firstLineChars="6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甲方:</w:t>
      </w:r>
    </w:p>
    <w:p w14:paraId="0EE38893">
      <w:pPr>
        <w:spacing w:line="500" w:lineRule="exact"/>
        <w:ind w:firstLine="1680" w:firstLineChars="6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乙方:</w:t>
      </w:r>
    </w:p>
    <w:p w14:paraId="657EDE61">
      <w:pPr>
        <w:spacing w:line="500" w:lineRule="exact"/>
        <w:ind w:firstLine="1680" w:firstLineChars="600"/>
        <w:rPr>
          <w:rFonts w:hint="default"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签订地点：</w:t>
      </w:r>
      <w:r>
        <w:rPr>
          <w:rFonts w:hint="eastAsia" w:ascii="宋体" w:hAnsi="宋体" w:eastAsia="宋体" w:cs="宋体"/>
          <w:color w:val="000000" w:themeColor="text1"/>
          <w:sz w:val="28"/>
          <w:szCs w:val="28"/>
          <w:lang w:val="en-US" w:eastAsia="zh-CN"/>
          <w14:textFill>
            <w14:solidFill>
              <w14:schemeClr w14:val="tx1"/>
            </w14:solidFill>
          </w14:textFill>
        </w:rPr>
        <w:t>辽宁省鞍山市</w:t>
      </w:r>
    </w:p>
    <w:p w14:paraId="3C99F0C3">
      <w:pPr>
        <w:spacing w:line="500" w:lineRule="exact"/>
        <w:ind w:firstLine="1680" w:firstLineChars="600"/>
        <w:rPr>
          <w:rFonts w:hint="eastAsia" w:ascii="国标宋体" w:hAnsi="国标宋体" w:eastAsia="国标宋体" w:cs="国标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签订日期:</w:t>
      </w:r>
      <w:r>
        <w:rPr>
          <w:rFonts w:hint="eastAsia" w:ascii="宋体" w:hAnsi="宋体" w:eastAsia="宋体" w:cs="宋体"/>
          <w:color w:val="FF0000"/>
          <w:sz w:val="28"/>
          <w:szCs w:val="28"/>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FF0000"/>
          <w:sz w:val="28"/>
          <w:szCs w:val="28"/>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月</w:t>
      </w:r>
      <w:r>
        <w:rPr>
          <w:rFonts w:hint="eastAsia" w:ascii="宋体" w:hAnsi="宋体" w:eastAsia="宋体" w:cs="宋体"/>
          <w:color w:val="FF0000"/>
          <w:sz w:val="28"/>
          <w:szCs w:val="28"/>
          <w:u w:val="single" w:color="000000"/>
          <w:lang w:val="en-US" w:eastAsia="zh-CN"/>
        </w:rPr>
        <w:t xml:space="preserve">  </w:t>
      </w:r>
      <w:r>
        <w:rPr>
          <w:rFonts w:hint="eastAsia" w:ascii="宋体" w:hAnsi="宋体" w:eastAsia="宋体" w:cs="宋体"/>
          <w:color w:val="000000" w:themeColor="text1"/>
          <w:sz w:val="28"/>
          <w:szCs w:val="28"/>
          <w14:textFill>
            <w14:solidFill>
              <w14:schemeClr w14:val="tx1"/>
            </w14:solidFill>
          </w14:textFill>
        </w:rPr>
        <w:t>日</w:t>
      </w:r>
    </w:p>
    <w:p w14:paraId="260D4745">
      <w:pPr>
        <w:spacing w:line="500" w:lineRule="exact"/>
        <w:jc w:val="center"/>
        <w:rPr>
          <w:rFonts w:hint="eastAsia" w:ascii="仿宋" w:hAnsi="仿宋" w:eastAsia="仿宋" w:cs="仿宋"/>
          <w:b/>
          <w:bCs/>
          <w:color w:val="000000" w:themeColor="text1"/>
          <w:sz w:val="28"/>
          <w:szCs w:val="28"/>
          <w14:textFill>
            <w14:solidFill>
              <w14:schemeClr w14:val="tx1"/>
            </w14:solidFill>
          </w14:textFill>
        </w:rPr>
        <w:sectPr>
          <w:headerReference r:id="rId3" w:type="default"/>
          <w:footerReference r:id="rId4" w:type="default"/>
          <w:pgSz w:w="11906" w:h="16838"/>
          <w:pgMar w:top="1440" w:right="1800" w:bottom="1440" w:left="1800" w:header="708" w:footer="708" w:gutter="0"/>
          <w:pgNumType w:fmt="numberInDash" w:start="1"/>
          <w:cols w:space="720" w:num="1"/>
          <w:docGrid w:linePitch="360" w:charSpace="0"/>
        </w:sectPr>
      </w:pPr>
    </w:p>
    <w:p w14:paraId="4A21A338">
      <w:pPr>
        <w:wordWrap w:val="0"/>
        <w:spacing w:line="500" w:lineRule="exact"/>
        <w:jc w:val="right"/>
        <w:rPr>
          <w:rFonts w:hint="default" w:ascii="宋体" w:hAnsi="宋体" w:eastAsia="宋体" w:cs="宋体"/>
          <w:b/>
          <w:bCs/>
          <w:color w:val="000000"/>
          <w:lang w:val="en-US" w:eastAsia="zh-CN"/>
        </w:rPr>
      </w:pPr>
      <w:bookmarkStart w:id="0" w:name="_Hlk105851305"/>
      <w:r>
        <w:rPr>
          <w:rFonts w:hint="eastAsia" w:ascii="宋体" w:hAnsi="宋体" w:eastAsia="宋体" w:cs="宋体"/>
          <w:b/>
          <w:bCs/>
          <w:color w:val="000000"/>
        </w:rPr>
        <w:t>合同编码：</w:t>
      </w:r>
      <w:r>
        <w:rPr>
          <w:rFonts w:hint="eastAsia" w:ascii="宋体" w:hAnsi="宋体" w:eastAsia="宋体" w:cs="宋体"/>
          <w:b/>
          <w:bCs/>
          <w:color w:val="000000"/>
          <w:lang w:val="en-US" w:eastAsia="zh-CN"/>
        </w:rPr>
        <w:t xml:space="preserve">          </w:t>
      </w:r>
    </w:p>
    <w:p w14:paraId="228105B0">
      <w:pPr>
        <w:keepNext w:val="0"/>
        <w:keepLines w:val="0"/>
        <w:widowControl/>
        <w:suppressLineNumbers w:val="0"/>
        <w:ind w:firstLine="1680" w:firstLineChars="700"/>
        <w:jc w:val="right"/>
      </w:pPr>
    </w:p>
    <w:p w14:paraId="46654C0F">
      <w:pPr>
        <w:wordWrap w:val="0"/>
        <w:spacing w:line="500" w:lineRule="exact"/>
        <w:jc w:val="right"/>
        <w:rPr>
          <w:rFonts w:hint="eastAsia" w:ascii="仿宋" w:hAnsi="仿宋" w:eastAsia="仿宋" w:cs="仿宋"/>
          <w:b/>
          <w:bCs/>
          <w:color w:val="000000" w:themeColor="text1"/>
          <w:sz w:val="28"/>
          <w:szCs w:val="28"/>
          <w:lang w:val="en-US" w:eastAsia="zh-CN"/>
          <w14:textFill>
            <w14:solidFill>
              <w14:schemeClr w14:val="tx1"/>
            </w14:solidFill>
          </w14:textFill>
        </w:rPr>
      </w:pPr>
    </w:p>
    <w:bookmarkEnd w:id="0"/>
    <w:p w14:paraId="5B2AE034">
      <w:pPr>
        <w:spacing w:before="240" w:beforeLines="100" w:after="240" w:afterLines="100" w:line="440" w:lineRule="exact"/>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eastAsia="zh-Hans"/>
          <w14:textFill>
            <w14:solidFill>
              <w14:schemeClr w14:val="tx1"/>
            </w14:solidFill>
          </w14:textFill>
        </w:rPr>
        <w:t>采购</w:t>
      </w:r>
      <w:r>
        <w:rPr>
          <w:rFonts w:hint="eastAsia" w:ascii="宋体" w:hAnsi="宋体" w:eastAsia="宋体" w:cs="宋体"/>
          <w:b/>
          <w:bCs/>
          <w:color w:val="000000" w:themeColor="text1"/>
          <w:sz w:val="36"/>
          <w:szCs w:val="36"/>
          <w14:textFill>
            <w14:solidFill>
              <w14:schemeClr w14:val="tx1"/>
            </w14:solidFill>
          </w14:textFill>
        </w:rPr>
        <w:t>合同</w:t>
      </w:r>
    </w:p>
    <w:p w14:paraId="6CC6A1FB">
      <w:pPr>
        <w:spacing w:before="240" w:beforeLines="100" w:after="240" w:afterLines="100" w:line="440" w:lineRule="exact"/>
        <w:jc w:val="center"/>
        <w:rPr>
          <w:rFonts w:hint="eastAsia" w:ascii="宋体" w:hAnsi="宋体" w:eastAsia="宋体" w:cs="宋体"/>
          <w:b/>
          <w:bCs/>
          <w:color w:val="000000" w:themeColor="text1"/>
          <w:sz w:val="36"/>
          <w:szCs w:val="36"/>
          <w14:textFill>
            <w14:solidFill>
              <w14:schemeClr w14:val="tx1"/>
            </w14:solidFill>
          </w14:textFill>
        </w:rPr>
      </w:pPr>
    </w:p>
    <w:p w14:paraId="24A049C0">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甲方（购货方）：</w:t>
      </w:r>
    </w:p>
    <w:p w14:paraId="6D605E07">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bookmarkStart w:id="5" w:name="_GoBack"/>
      <w:bookmarkEnd w:id="5"/>
    </w:p>
    <w:p w14:paraId="7241C3D2">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乙方（供货方）：</w:t>
      </w:r>
    </w:p>
    <w:p w14:paraId="6BC08413">
      <w:pPr>
        <w:widowControl w:val="0"/>
        <w:adjustRightInd w:val="0"/>
        <w:spacing w:line="500" w:lineRule="exact"/>
        <w:ind w:firstLine="482" w:firstLineChars="200"/>
        <w:rPr>
          <w:rFonts w:hint="eastAsia" w:ascii="宋体" w:hAnsi="宋体" w:eastAsia="宋体" w:cs="宋体"/>
          <w:b/>
          <w:bCs/>
          <w:color w:val="000000" w:themeColor="text1"/>
          <w:sz w:val="24"/>
          <w:szCs w:val="24"/>
          <w14:textFill>
            <w14:solidFill>
              <w14:schemeClr w14:val="tx1"/>
            </w14:solidFill>
          </w14:textFill>
        </w:rPr>
      </w:pPr>
    </w:p>
    <w:p w14:paraId="11A3D41D">
      <w:pPr>
        <w:widowControl w:val="0"/>
        <w:adjustRightInd w:val="0"/>
        <w:spacing w:line="500" w:lineRule="exact"/>
        <w:ind w:firstLine="480" w:firstLineChars="200"/>
        <w:jc w:val="both"/>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为维护双方的合法权益，根据《中华人民共和国民法典》及有关法律、法规的规定，基于平等互利之原则，经协商一致，就甲方向乙方采购货物事宜签订本合同，以资共同遵守。</w:t>
      </w:r>
    </w:p>
    <w:p w14:paraId="70761C42">
      <w:pPr>
        <w:widowControl w:val="0"/>
        <w:adjustRightInd w:val="0"/>
        <w:spacing w:line="500" w:lineRule="exact"/>
        <w:ind w:left="482"/>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第一条 报价清单</w:t>
      </w:r>
    </w:p>
    <w:tbl>
      <w:tblPr>
        <w:tblStyle w:val="12"/>
        <w:tblW w:w="10485" w:type="dxa"/>
        <w:tblInd w:w="-85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18"/>
        <w:gridCol w:w="1010"/>
        <w:gridCol w:w="746"/>
        <w:gridCol w:w="604"/>
        <w:gridCol w:w="1230"/>
        <w:gridCol w:w="705"/>
        <w:gridCol w:w="1188"/>
        <w:gridCol w:w="658"/>
        <w:gridCol w:w="1385"/>
        <w:gridCol w:w="738"/>
        <w:gridCol w:w="404"/>
        <w:gridCol w:w="999"/>
      </w:tblGrid>
      <w:tr w14:paraId="692A5C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37" w:hRule="atLeast"/>
        </w:trPr>
        <w:tc>
          <w:tcPr>
            <w:tcW w:w="818" w:type="dxa"/>
            <w:vAlign w:val="center"/>
          </w:tcPr>
          <w:p w14:paraId="0716CF87">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物料名称</w:t>
            </w:r>
          </w:p>
        </w:tc>
        <w:tc>
          <w:tcPr>
            <w:tcW w:w="1010" w:type="dxa"/>
            <w:vAlign w:val="center"/>
          </w:tcPr>
          <w:p w14:paraId="42FF26F6">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物料代码</w:t>
            </w:r>
          </w:p>
        </w:tc>
        <w:tc>
          <w:tcPr>
            <w:tcW w:w="746" w:type="dxa"/>
            <w:vAlign w:val="center"/>
          </w:tcPr>
          <w:p w14:paraId="670D28C1">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型号规格</w:t>
            </w:r>
          </w:p>
        </w:tc>
        <w:tc>
          <w:tcPr>
            <w:tcW w:w="604" w:type="dxa"/>
            <w:vAlign w:val="center"/>
          </w:tcPr>
          <w:p w14:paraId="627D074B">
            <w:pPr>
              <w:jc w:val="center"/>
              <w:textAlignment w:val="top"/>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sz w:val="21"/>
                <w:szCs w:val="21"/>
                <w:lang w:bidi="ar"/>
              </w:rPr>
              <w:t>替代型规</w:t>
            </w:r>
          </w:p>
        </w:tc>
        <w:tc>
          <w:tcPr>
            <w:tcW w:w="1230" w:type="dxa"/>
            <w:vAlign w:val="center"/>
          </w:tcPr>
          <w:p w14:paraId="7A227316">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厂家/品牌</w:t>
            </w:r>
          </w:p>
        </w:tc>
        <w:tc>
          <w:tcPr>
            <w:tcW w:w="705" w:type="dxa"/>
            <w:vAlign w:val="center"/>
          </w:tcPr>
          <w:p w14:paraId="1630F1CD">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产地</w:t>
            </w:r>
          </w:p>
        </w:tc>
        <w:tc>
          <w:tcPr>
            <w:tcW w:w="1188" w:type="dxa"/>
            <w:vAlign w:val="center"/>
          </w:tcPr>
          <w:p w14:paraId="3B0D39FF">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单价不含税</w:t>
            </w:r>
            <w:r>
              <w:rPr>
                <w:rFonts w:hint="eastAsia" w:ascii="宋体" w:hAnsi="宋体" w:eastAsia="宋体" w:cs="宋体"/>
                <w:b/>
                <w:bCs/>
                <w:color w:val="000000" w:themeColor="text1"/>
                <w:sz w:val="21"/>
                <w:szCs w:val="21"/>
                <w:lang w:eastAsia="zh-Hans"/>
                <w14:textFill>
                  <w14:solidFill>
                    <w14:schemeClr w14:val="tx1"/>
                  </w14:solidFill>
                </w14:textFill>
              </w:rPr>
              <w:t>金额</w:t>
            </w:r>
            <w:r>
              <w:rPr>
                <w:rFonts w:hint="eastAsia" w:ascii="宋体" w:hAnsi="宋体" w:eastAsia="宋体" w:cs="宋体"/>
                <w:b/>
                <w:bCs/>
                <w:color w:val="000000" w:themeColor="text1"/>
                <w:sz w:val="21"/>
                <w:szCs w:val="21"/>
                <w14:textFill>
                  <w14:solidFill>
                    <w14:schemeClr w14:val="tx1"/>
                  </w14:solidFill>
                </w14:textFill>
              </w:rPr>
              <w:t>（元）</w:t>
            </w:r>
          </w:p>
        </w:tc>
        <w:tc>
          <w:tcPr>
            <w:tcW w:w="658" w:type="dxa"/>
            <w:tcBorders>
              <w:right w:val="single" w:color="auto" w:sz="4" w:space="0"/>
            </w:tcBorders>
            <w:vAlign w:val="center"/>
          </w:tcPr>
          <w:p w14:paraId="0755B111">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税率</w:t>
            </w:r>
          </w:p>
        </w:tc>
        <w:tc>
          <w:tcPr>
            <w:tcW w:w="1385" w:type="dxa"/>
            <w:tcBorders>
              <w:left w:val="single" w:color="auto" w:sz="4" w:space="0"/>
            </w:tcBorders>
            <w:vAlign w:val="center"/>
          </w:tcPr>
          <w:p w14:paraId="6C880217">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单价含税</w:t>
            </w:r>
            <w:r>
              <w:rPr>
                <w:rFonts w:hint="eastAsia" w:ascii="宋体" w:hAnsi="宋体" w:eastAsia="宋体" w:cs="宋体"/>
                <w:b/>
                <w:bCs/>
                <w:color w:val="000000" w:themeColor="text1"/>
                <w:sz w:val="21"/>
                <w:szCs w:val="21"/>
                <w:lang w:eastAsia="zh-Hans"/>
                <w14:textFill>
                  <w14:solidFill>
                    <w14:schemeClr w14:val="tx1"/>
                  </w14:solidFill>
                </w14:textFill>
              </w:rPr>
              <w:t>金额</w:t>
            </w:r>
            <w:r>
              <w:rPr>
                <w:rFonts w:hint="eastAsia" w:ascii="宋体" w:hAnsi="宋体" w:eastAsia="宋体" w:cs="宋体"/>
                <w:b/>
                <w:bCs/>
                <w:color w:val="000000" w:themeColor="text1"/>
                <w:sz w:val="21"/>
                <w:szCs w:val="21"/>
                <w14:textFill>
                  <w14:solidFill>
                    <w14:schemeClr w14:val="tx1"/>
                  </w14:solidFill>
                </w14:textFill>
              </w:rPr>
              <w:t>（元）</w:t>
            </w:r>
          </w:p>
        </w:tc>
        <w:tc>
          <w:tcPr>
            <w:tcW w:w="738" w:type="dxa"/>
            <w:tcBorders>
              <w:left w:val="single" w:color="auto" w:sz="4" w:space="0"/>
            </w:tcBorders>
            <w:vAlign w:val="center"/>
          </w:tcPr>
          <w:p w14:paraId="5E178EAE">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数量</w:t>
            </w:r>
          </w:p>
        </w:tc>
        <w:tc>
          <w:tcPr>
            <w:tcW w:w="404" w:type="dxa"/>
            <w:tcBorders>
              <w:left w:val="single" w:color="auto" w:sz="4" w:space="0"/>
            </w:tcBorders>
            <w:vAlign w:val="center"/>
          </w:tcPr>
          <w:p w14:paraId="3F34C742">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计量单位</w:t>
            </w:r>
          </w:p>
        </w:tc>
        <w:tc>
          <w:tcPr>
            <w:tcW w:w="999" w:type="dxa"/>
            <w:tcBorders>
              <w:left w:val="single" w:color="auto" w:sz="4" w:space="0"/>
            </w:tcBorders>
            <w:vAlign w:val="center"/>
          </w:tcPr>
          <w:p w14:paraId="146C2420">
            <w:pPr>
              <w:widowControl w:val="0"/>
              <w:adjustRightInd w:val="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质量标准</w:t>
            </w:r>
          </w:p>
        </w:tc>
      </w:tr>
      <w:tr w14:paraId="7423C7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trPr>
        <w:tc>
          <w:tcPr>
            <w:tcW w:w="818" w:type="dxa"/>
            <w:vAlign w:val="center"/>
          </w:tcPr>
          <w:p w14:paraId="3EC73F83">
            <w:pPr>
              <w:keepNext w:val="0"/>
              <w:keepLines w:val="0"/>
              <w:widowControl/>
              <w:suppressLineNumbers w:val="0"/>
              <w:jc w:val="center"/>
              <w:textAlignment w:val="center"/>
              <w:rPr>
                <w:rFonts w:hint="eastAsia" w:ascii="宋体" w:hAnsi="宋体" w:eastAsia="宋体" w:cs="宋体"/>
                <w:color w:val="FF0000"/>
                <w:sz w:val="21"/>
                <w:szCs w:val="21"/>
              </w:rPr>
            </w:pPr>
          </w:p>
        </w:tc>
        <w:tc>
          <w:tcPr>
            <w:tcW w:w="1010" w:type="dxa"/>
            <w:vAlign w:val="center"/>
          </w:tcPr>
          <w:p w14:paraId="3D5CFF10">
            <w:pPr>
              <w:keepNext w:val="0"/>
              <w:keepLines w:val="0"/>
              <w:widowControl/>
              <w:suppressLineNumbers w:val="0"/>
              <w:jc w:val="center"/>
              <w:textAlignment w:val="center"/>
              <w:rPr>
                <w:rFonts w:hint="eastAsia" w:ascii="宋体" w:hAnsi="宋体" w:eastAsia="宋体" w:cs="宋体"/>
                <w:color w:val="FF0000"/>
                <w:sz w:val="21"/>
                <w:szCs w:val="21"/>
              </w:rPr>
            </w:pPr>
          </w:p>
        </w:tc>
        <w:tc>
          <w:tcPr>
            <w:tcW w:w="746" w:type="dxa"/>
            <w:vAlign w:val="center"/>
          </w:tcPr>
          <w:p w14:paraId="1BD2EC4B">
            <w:pPr>
              <w:keepNext w:val="0"/>
              <w:keepLines w:val="0"/>
              <w:widowControl/>
              <w:suppressLineNumbers w:val="0"/>
              <w:jc w:val="center"/>
              <w:textAlignment w:val="center"/>
              <w:rPr>
                <w:rFonts w:hint="eastAsia" w:ascii="宋体" w:hAnsi="宋体" w:eastAsia="宋体" w:cs="宋体"/>
                <w:color w:val="FF0000"/>
                <w:sz w:val="21"/>
                <w:szCs w:val="21"/>
              </w:rPr>
            </w:pPr>
          </w:p>
        </w:tc>
        <w:tc>
          <w:tcPr>
            <w:tcW w:w="604" w:type="dxa"/>
            <w:vAlign w:val="center"/>
          </w:tcPr>
          <w:p w14:paraId="0D8871C0">
            <w:pPr>
              <w:keepNext w:val="0"/>
              <w:keepLines w:val="0"/>
              <w:widowControl/>
              <w:suppressLineNumbers w:val="0"/>
              <w:jc w:val="center"/>
              <w:textAlignment w:val="center"/>
              <w:rPr>
                <w:rFonts w:hint="eastAsia" w:ascii="宋体" w:hAnsi="宋体" w:eastAsia="宋体" w:cs="宋体"/>
                <w:color w:val="FF0000"/>
                <w:sz w:val="21"/>
                <w:szCs w:val="21"/>
                <w:lang w:bidi="ar"/>
              </w:rPr>
            </w:pPr>
          </w:p>
        </w:tc>
        <w:tc>
          <w:tcPr>
            <w:tcW w:w="1230" w:type="dxa"/>
            <w:vAlign w:val="center"/>
          </w:tcPr>
          <w:p w14:paraId="048E02D1">
            <w:pPr>
              <w:keepNext w:val="0"/>
              <w:keepLines w:val="0"/>
              <w:widowControl/>
              <w:suppressLineNumbers w:val="0"/>
              <w:jc w:val="center"/>
              <w:textAlignment w:val="center"/>
              <w:rPr>
                <w:rFonts w:hint="eastAsia" w:ascii="宋体" w:hAnsi="宋体" w:eastAsia="宋体" w:cs="宋体"/>
                <w:color w:val="FF0000"/>
                <w:sz w:val="21"/>
                <w:szCs w:val="21"/>
              </w:rPr>
            </w:pPr>
          </w:p>
        </w:tc>
        <w:tc>
          <w:tcPr>
            <w:tcW w:w="705" w:type="dxa"/>
            <w:vAlign w:val="center"/>
          </w:tcPr>
          <w:p w14:paraId="7B636F59">
            <w:pPr>
              <w:keepNext w:val="0"/>
              <w:keepLines w:val="0"/>
              <w:widowControl/>
              <w:suppressLineNumbers w:val="0"/>
              <w:jc w:val="center"/>
              <w:textAlignment w:val="center"/>
              <w:rPr>
                <w:rFonts w:hint="eastAsia" w:ascii="宋体" w:hAnsi="宋体" w:eastAsia="宋体" w:cs="宋体"/>
                <w:color w:val="FF0000"/>
                <w:sz w:val="21"/>
                <w:szCs w:val="21"/>
              </w:rPr>
            </w:pPr>
          </w:p>
        </w:tc>
        <w:tc>
          <w:tcPr>
            <w:tcW w:w="1188" w:type="dxa"/>
            <w:vAlign w:val="center"/>
          </w:tcPr>
          <w:p w14:paraId="3E7D6B46">
            <w:pPr>
              <w:keepNext w:val="0"/>
              <w:keepLines w:val="0"/>
              <w:widowControl/>
              <w:suppressLineNumbers w:val="0"/>
              <w:jc w:val="center"/>
              <w:textAlignment w:val="center"/>
              <w:rPr>
                <w:rFonts w:hint="eastAsia" w:ascii="宋体" w:hAnsi="宋体" w:eastAsia="宋体" w:cs="宋体"/>
                <w:color w:val="FF0000"/>
                <w:sz w:val="21"/>
                <w:szCs w:val="21"/>
                <w:lang w:val="en-US"/>
              </w:rPr>
            </w:pPr>
          </w:p>
        </w:tc>
        <w:tc>
          <w:tcPr>
            <w:tcW w:w="658" w:type="dxa"/>
            <w:tcBorders>
              <w:right w:val="single" w:color="auto" w:sz="4" w:space="0"/>
            </w:tcBorders>
            <w:vAlign w:val="center"/>
          </w:tcPr>
          <w:p w14:paraId="7EA601DB">
            <w:pPr>
              <w:keepNext w:val="0"/>
              <w:keepLines w:val="0"/>
              <w:widowControl/>
              <w:suppressLineNumbers w:val="0"/>
              <w:jc w:val="center"/>
              <w:textAlignment w:val="center"/>
              <w:rPr>
                <w:rFonts w:hint="eastAsia" w:ascii="宋体" w:hAnsi="宋体" w:eastAsia="宋体" w:cs="宋体"/>
                <w:color w:val="FF0000"/>
                <w:sz w:val="21"/>
                <w:szCs w:val="21"/>
              </w:rPr>
            </w:pPr>
          </w:p>
        </w:tc>
        <w:tc>
          <w:tcPr>
            <w:tcW w:w="1385" w:type="dxa"/>
            <w:tcBorders>
              <w:left w:val="single" w:color="auto" w:sz="4" w:space="0"/>
            </w:tcBorders>
            <w:vAlign w:val="center"/>
          </w:tcPr>
          <w:p w14:paraId="6107303B">
            <w:pPr>
              <w:keepNext w:val="0"/>
              <w:keepLines w:val="0"/>
              <w:widowControl/>
              <w:suppressLineNumbers w:val="0"/>
              <w:jc w:val="center"/>
              <w:textAlignment w:val="center"/>
              <w:rPr>
                <w:rFonts w:hint="eastAsia" w:ascii="宋体" w:hAnsi="宋体" w:eastAsia="宋体" w:cs="宋体"/>
                <w:color w:val="FF0000"/>
                <w:sz w:val="21"/>
                <w:szCs w:val="21"/>
                <w:lang w:val="en-US"/>
              </w:rPr>
            </w:pPr>
          </w:p>
        </w:tc>
        <w:tc>
          <w:tcPr>
            <w:tcW w:w="738" w:type="dxa"/>
            <w:tcBorders>
              <w:left w:val="single" w:color="auto" w:sz="4" w:space="0"/>
            </w:tcBorders>
            <w:vAlign w:val="center"/>
          </w:tcPr>
          <w:p w14:paraId="2A1CD0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04" w:type="dxa"/>
            <w:tcBorders>
              <w:left w:val="single" w:color="auto" w:sz="4" w:space="0"/>
            </w:tcBorders>
            <w:vAlign w:val="center"/>
          </w:tcPr>
          <w:p w14:paraId="569E041E">
            <w:pPr>
              <w:keepNext w:val="0"/>
              <w:keepLines w:val="0"/>
              <w:widowControl/>
              <w:suppressLineNumbers w:val="0"/>
              <w:jc w:val="center"/>
              <w:textAlignment w:val="center"/>
              <w:rPr>
                <w:rFonts w:hint="eastAsia" w:ascii="宋体" w:hAnsi="宋体" w:eastAsia="宋体" w:cs="宋体"/>
                <w:color w:val="FF0000"/>
                <w:sz w:val="21"/>
                <w:szCs w:val="21"/>
              </w:rPr>
            </w:pPr>
          </w:p>
        </w:tc>
        <w:tc>
          <w:tcPr>
            <w:tcW w:w="999" w:type="dxa"/>
            <w:tcBorders>
              <w:left w:val="single" w:color="auto" w:sz="4" w:space="0"/>
            </w:tcBorders>
            <w:vAlign w:val="center"/>
          </w:tcPr>
          <w:p w14:paraId="3C5F8B66">
            <w:pPr>
              <w:keepNext w:val="0"/>
              <w:keepLines w:val="0"/>
              <w:widowControl/>
              <w:suppressLineNumbers w:val="0"/>
              <w:jc w:val="center"/>
              <w:textAlignment w:val="center"/>
              <w:rPr>
                <w:rFonts w:hint="eastAsia" w:ascii="宋体" w:hAnsi="宋体" w:eastAsia="宋体" w:cs="宋体"/>
                <w:color w:val="FF0000"/>
                <w:sz w:val="21"/>
                <w:szCs w:val="21"/>
              </w:rPr>
            </w:pPr>
          </w:p>
        </w:tc>
      </w:tr>
      <w:tr w14:paraId="5887BD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0485" w:type="dxa"/>
            <w:gridSpan w:val="12"/>
          </w:tcPr>
          <w:p w14:paraId="2B0E2D42">
            <w:pPr>
              <w:widowControl w:val="0"/>
              <w:adjustRightInd w:val="0"/>
              <w:jc w:val="both"/>
              <w:rPr>
                <w:rFonts w:hint="eastAsia" w:ascii="宋体" w:hAnsi="宋体" w:eastAsia="宋体" w:cs="宋体"/>
                <w:color w:val="FF0000"/>
                <w:sz w:val="21"/>
                <w:szCs w:val="21"/>
              </w:rPr>
            </w:pPr>
            <w:r>
              <w:rPr>
                <w:rFonts w:hint="eastAsia" w:ascii="宋体" w:hAnsi="宋体" w:eastAsia="宋体" w:cs="宋体"/>
                <w:color w:val="auto"/>
                <w:sz w:val="21"/>
                <w:szCs w:val="21"/>
              </w:rPr>
              <w:t>总</w:t>
            </w:r>
            <w:r>
              <w:rPr>
                <w:rFonts w:hint="eastAsia" w:ascii="宋体" w:hAnsi="宋体" w:eastAsia="宋体" w:cs="宋体"/>
                <w:color w:val="auto"/>
                <w:sz w:val="21"/>
                <w:szCs w:val="21"/>
                <w:lang w:eastAsia="zh-Hans"/>
              </w:rPr>
              <w:t>金额</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元</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单位：</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Hans"/>
              </w:rPr>
              <w:t>人民币，下同</w:t>
            </w:r>
            <w:r>
              <w:rPr>
                <w:rFonts w:hint="eastAsia" w:ascii="宋体" w:hAnsi="宋体" w:eastAsia="宋体" w:cs="宋体"/>
                <w:color w:val="auto"/>
                <w:sz w:val="21"/>
                <w:szCs w:val="21"/>
              </w:rPr>
              <w:t>） 不含税：</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元</w:t>
            </w:r>
          </w:p>
        </w:tc>
      </w:tr>
    </w:tbl>
    <w:p w14:paraId="72DEE7EA">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第二条 质量标准</w:t>
      </w:r>
    </w:p>
    <w:p w14:paraId="685257AA">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货物应当符合强制性国家标准或行业标准，该强制性国家标准或行业标准应是有关机构发布的最新版本的标准。如无如强制性国家标准或行业标准，则应适用国家推荐性标准、地方标准或甲方认可的企业标准。如前述标准之间不一致，则执行对乙方权利义务约束较为严格的标准。</w:t>
      </w:r>
    </w:p>
    <w:p w14:paraId="6CDB5895">
      <w:pPr>
        <w:adjustRightInd w:val="0"/>
        <w:spacing w:line="500" w:lineRule="exact"/>
        <w:ind w:firstLine="480" w:firstLineChars="200"/>
        <w:contextualSpacing/>
        <w:jc w:val="both"/>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2.2乙方交付的货物应当达到约定的质量标准。约定的验收</w:t>
      </w:r>
      <w:r>
        <w:rPr>
          <w:rFonts w:hint="eastAsia" w:ascii="宋体" w:hAnsi="宋体" w:eastAsia="宋体" w:cs="宋体"/>
          <w:color w:val="auto"/>
          <w:sz w:val="24"/>
          <w:szCs w:val="24"/>
          <w:highlight w:val="none"/>
          <w:u w:val="none"/>
          <w:lang w:eastAsia="zh-CN"/>
        </w:rPr>
        <w:t>内容</w:t>
      </w:r>
      <w:r>
        <w:rPr>
          <w:rFonts w:hint="eastAsia" w:ascii="宋体" w:hAnsi="宋体" w:eastAsia="宋体" w:cs="宋体"/>
          <w:color w:val="auto"/>
          <w:sz w:val="24"/>
          <w:szCs w:val="24"/>
          <w:highlight w:val="none"/>
          <w:u w:val="none"/>
        </w:rPr>
        <w:t>为</w:t>
      </w:r>
      <w:bookmarkStart w:id="1" w:name="_Hlk103856566"/>
      <w:r>
        <w:rPr>
          <w:rFonts w:hint="eastAsia" w:ascii="宋体" w:hAnsi="宋体" w:eastAsia="宋体" w:cs="宋体"/>
          <w:color w:val="auto"/>
          <w:sz w:val="24"/>
          <w:szCs w:val="24"/>
          <w:highlight w:val="none"/>
          <w:u w:val="none"/>
        </w:rPr>
        <w:t>检查外观包装、名称、数量、规格型号、技术参数等验收内容</w:t>
      </w:r>
      <w:bookmarkEnd w:id="1"/>
      <w:r>
        <w:rPr>
          <w:rFonts w:hint="eastAsia" w:ascii="宋体" w:hAnsi="宋体" w:eastAsia="宋体" w:cs="宋体"/>
          <w:color w:val="auto"/>
          <w:sz w:val="24"/>
          <w:szCs w:val="24"/>
          <w:highlight w:val="none"/>
          <w:u w:val="none"/>
        </w:rPr>
        <w:t>。</w:t>
      </w:r>
    </w:p>
    <w:p w14:paraId="44257418">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第三条 包装与装运</w:t>
      </w:r>
    </w:p>
    <w:p w14:paraId="0D3A30A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3.1乙方应采取相应措施对货物进行包装，包装时应充分考虑到货物在运输途中可能遭遇的各种情况及气候特点。同时，应满足货物露天存放的需要，确保货物安全无损地到达合同指定地点。</w:t>
      </w:r>
    </w:p>
    <w:p w14:paraId="3E2E200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3.2包装费由乙方承担，包装物不计价返还。外包装须标明订单商品名称、规格、型号、数量、供应商等信息。因包装问题导致货物损毁的，由乙方承担责任。</w:t>
      </w:r>
    </w:p>
    <w:p w14:paraId="55919B77">
      <w:pPr>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3.3关于包装的其他约定：</w:t>
      </w:r>
      <w:r>
        <w:rPr>
          <w:rFonts w:hint="eastAsia" w:ascii="宋体" w:hAnsi="宋体" w:eastAsia="宋体" w:cs="宋体"/>
          <w:color w:val="auto"/>
          <w:sz w:val="24"/>
          <w:szCs w:val="24"/>
          <w:highlight w:val="none"/>
          <w:u w:val="none"/>
        </w:rPr>
        <w:t>按本合同违约责任第15.1.22执行</w:t>
      </w:r>
      <w:r>
        <w:rPr>
          <w:rFonts w:hint="eastAsia" w:ascii="宋体" w:hAnsi="宋体" w:eastAsia="宋体" w:cs="宋体"/>
          <w:color w:val="auto"/>
          <w:sz w:val="24"/>
          <w:szCs w:val="24"/>
          <w:highlight w:val="none"/>
        </w:rPr>
        <w:t>。</w:t>
      </w:r>
    </w:p>
    <w:p w14:paraId="4F593D4C">
      <w:pPr>
        <w:adjustRightInd w:val="0"/>
        <w:snapToGrid w:val="0"/>
        <w:spacing w:line="500" w:lineRule="exact"/>
        <w:ind w:firstLine="482" w:firstLineChars="200"/>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交货</w:t>
      </w:r>
    </w:p>
    <w:p w14:paraId="1EEE2A4D">
      <w:pPr>
        <w:pStyle w:val="8"/>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4.1</w:t>
      </w:r>
      <w:r>
        <w:rPr>
          <w:rFonts w:hint="eastAsia" w:ascii="宋体" w:hAnsi="宋体" w:eastAsia="宋体" w:cs="宋体"/>
          <w:b w:val="0"/>
          <w:bCs w:val="0"/>
          <w:color w:val="auto"/>
          <w:kern w:val="0"/>
          <w:sz w:val="24"/>
          <w:szCs w:val="24"/>
          <w:highlight w:val="none"/>
          <w:lang w:val="en-US" w:eastAsia="zh-CN"/>
        </w:rPr>
        <w:t>甲方采购数量为预计采购量，不承诺供货有效期内实际采购数量及采购金额，仅以“工品优采”平台实际下单发生量为准。</w:t>
      </w:r>
    </w:p>
    <w:p w14:paraId="6832D207">
      <w:pPr>
        <w:wordWrap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交货：甲方每次采购时通过工品优采平台</w:t>
      </w:r>
      <w:r>
        <w:rPr>
          <w:rFonts w:hint="eastAsia" w:ascii="宋体" w:hAnsi="宋体" w:eastAsia="宋体" w:cs="宋体"/>
          <w:color w:val="000000" w:themeColor="text1"/>
          <w:sz w:val="24"/>
          <w:szCs w:val="24"/>
          <w:u w:val="none"/>
          <w14:textFill>
            <w14:solidFill>
              <w14:schemeClr w14:val="tx1"/>
            </w14:solidFill>
          </w14:textFill>
        </w:rPr>
        <w:t>https://gyp.ansteelmro.com</w:t>
      </w:r>
      <w:r>
        <w:rPr>
          <w:rFonts w:hint="eastAsia" w:ascii="宋体" w:hAnsi="宋体" w:eastAsia="宋体" w:cs="宋体"/>
          <w:color w:val="000000" w:themeColor="text1"/>
          <w:sz w:val="24"/>
          <w:szCs w:val="24"/>
          <w14:textFill>
            <w14:solidFill>
              <w14:schemeClr w14:val="tx1"/>
            </w14:solidFill>
          </w14:textFill>
        </w:rPr>
        <w:t>向乙方发送订单，乙方应于收到订单后2日内确认。乙方逾期未确认的，视为确认订单内容。乙方应按照订单记载的交货时间交货。如货物需乙方安装，则乙方应自行充分考虑安装时间、安装条件等，并确保在交货时间前安装完毕。乙方超过两次无正当理由未按订单发货的，按照本</w:t>
      </w:r>
      <w:r>
        <w:rPr>
          <w:rFonts w:hint="eastAsia" w:ascii="宋体" w:hAnsi="宋体" w:eastAsia="宋体" w:cs="宋体"/>
          <w:color w:val="auto"/>
          <w:sz w:val="24"/>
          <w:szCs w:val="24"/>
          <w:highlight w:val="none"/>
        </w:rPr>
        <w:t>合同15.1.13执</w:t>
      </w:r>
      <w:r>
        <w:rPr>
          <w:rFonts w:hint="eastAsia" w:ascii="宋体" w:hAnsi="宋体" w:eastAsia="宋体" w:cs="宋体"/>
          <w:color w:val="000000" w:themeColor="text1"/>
          <w:sz w:val="24"/>
          <w:szCs w:val="24"/>
          <w14:textFill>
            <w14:solidFill>
              <w14:schemeClr w14:val="tx1"/>
            </w14:solidFill>
          </w14:textFill>
        </w:rPr>
        <w:t>行。</w:t>
      </w:r>
    </w:p>
    <w:p w14:paraId="69D3271E">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对于无需乙方安装的货物，货物在验收合格前的风险由乙方</w:t>
      </w:r>
      <w:r>
        <w:rPr>
          <w:rFonts w:hint="eastAsia" w:ascii="宋体" w:hAnsi="宋体" w:eastAsia="宋体" w:cs="宋体"/>
          <w:color w:val="000000" w:themeColor="text1"/>
          <w:spacing w:val="-20"/>
          <w:sz w:val="24"/>
          <w:szCs w:val="24"/>
          <w14:textFill>
            <w14:solidFill>
              <w14:schemeClr w14:val="tx1"/>
            </w14:solidFill>
          </w14:textFill>
        </w:rPr>
        <w:t>承担。对于需要乙方安装的货物，货物在安装完毕前的风险由乙方承担。</w:t>
      </w:r>
    </w:p>
    <w:p w14:paraId="19955EA6">
      <w:pPr>
        <w:adjustRightInd w:val="0"/>
        <w:snapToGrid w:val="0"/>
        <w:spacing w:line="500" w:lineRule="exact"/>
        <w:ind w:firstLine="480" w:firstLineChars="200"/>
        <w:jc w:val="both"/>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乙方交货时应当携带送货清单</w:t>
      </w:r>
      <w:r>
        <w:rPr>
          <w:rFonts w:hint="eastAsia" w:ascii="宋体" w:hAnsi="宋体" w:eastAsia="宋体" w:cs="宋体"/>
          <w:color w:val="000000" w:themeColor="text1"/>
          <w:sz w:val="24"/>
          <w:szCs w:val="24"/>
          <w:u w:val="none"/>
          <w14:textFill>
            <w14:solidFill>
              <w14:schemeClr w14:val="tx1"/>
            </w14:solidFill>
          </w14:textFill>
        </w:rPr>
        <w:t>（注明订单号、商品名称、商品编号、型号规格、交货期、发货量等）。</w:t>
      </w:r>
    </w:p>
    <w:p w14:paraId="3CAE3F63">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如乙方交货时，未按本合同约定提供甲方要求的相关证明文件，甲方有权要求乙方提供后，再进行验收。由此导致货物逾期交付的，视为乙方违约。</w:t>
      </w:r>
    </w:p>
    <w:p w14:paraId="04B66951">
      <w:pPr>
        <w:pStyle w:val="8"/>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交（提）货方式、地点，送货</w:t>
      </w:r>
      <w:r>
        <w:rPr>
          <w:rFonts w:hint="eastAsia" w:ascii="宋体" w:hAnsi="宋体" w:eastAsia="宋体" w:cs="宋体"/>
          <w:color w:val="000000" w:themeColor="text1"/>
          <w:sz w:val="24"/>
          <w:szCs w:val="24"/>
          <w:u w:val="none"/>
          <w14:textFill>
            <w14:solidFill>
              <w14:schemeClr w14:val="tx1"/>
            </w14:solidFill>
          </w14:textFill>
        </w:rPr>
        <w:t>覆盖全国地区，以采购人下单地址为准。</w:t>
      </w:r>
    </w:p>
    <w:p w14:paraId="2135C48C">
      <w:pPr>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第五条 验收</w:t>
      </w:r>
    </w:p>
    <w:p w14:paraId="3CA81DED">
      <w:pPr>
        <w:adjustRightInd w:val="0"/>
        <w:snapToGrid w:val="0"/>
        <w:spacing w:line="500" w:lineRule="exact"/>
        <w:ind w:firstLine="480" w:firstLineChars="200"/>
        <w:jc w:val="both"/>
        <w:rPr>
          <w:rFonts w:hint="eastAsia" w:ascii="宋体" w:hAnsi="宋体" w:eastAsia="宋体" w:cs="宋体"/>
          <w:color w:val="FF0000"/>
          <w:sz w:val="24"/>
          <w:szCs w:val="24"/>
        </w:rPr>
      </w:pPr>
      <w:r>
        <w:rPr>
          <w:rFonts w:hint="eastAsia" w:ascii="宋体" w:hAnsi="宋体" w:eastAsia="宋体" w:cs="宋体"/>
          <w:color w:val="000000" w:themeColor="text1"/>
          <w:sz w:val="24"/>
          <w:szCs w:val="24"/>
          <w14:textFill>
            <w14:solidFill>
              <w14:schemeClr w14:val="tx1"/>
            </w14:solidFill>
          </w14:textFill>
        </w:rPr>
        <w:t>5.1</w:t>
      </w:r>
      <w:r>
        <w:rPr>
          <w:rFonts w:hint="eastAsia" w:ascii="宋体" w:hAnsi="宋体" w:eastAsia="宋体" w:cs="宋体"/>
          <w:sz w:val="24"/>
          <w:szCs w:val="24"/>
        </w:rPr>
        <w:t>货物到达交货地点后，双方应及时组织验收。验收合格的，由集配仓与供应商或物流公司在一段物流送货单共同签字验收，或由客户针对所购货物的送货单进行签字验收。验收不合格的，甲方有权要求乙方补足货物或更换货物。</w:t>
      </w:r>
    </w:p>
    <w:p w14:paraId="41AC945E">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5.2货物验收合格后并不视为免除乙方的质量保证责任，货物在约定的质保期或国家强制的质保期内发生质量问题，仍需乙方承担相应的赔偿、无偿更换等责任。</w:t>
      </w:r>
    </w:p>
    <w:p w14:paraId="7011188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因验收不合格导致乙方需要补足或更换货物，进而造成乙方交货逾期的，乙方应当承担违约责任。</w:t>
      </w:r>
    </w:p>
    <w:p w14:paraId="260787E0">
      <w:pPr>
        <w:widowControl w:val="0"/>
        <w:adjustRightInd w:val="0"/>
        <w:spacing w:line="50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如双方对货物质量有争议，可提出复检/化验申请。乙方应当配合甲方提出的复检/化验工作，甲方有权对货物取样并交送第三方的检验/化验机构复检/化验，最终以该复检/化验结果为准。如双方对货物数量有争议，可提出重新测量。乙方应配合甲方提出的重新测量工作，甲方有权委托第三方计量单位对货物进行重新测量。如复检或重新测量结果不合格，则相关费用及损失均由乙方承担。乙方拒不承担的，甲方有权解除合同，且因此而产生的一切费用和责任由乙方承担，同时乙方应向甲方支</w:t>
      </w:r>
      <w:r>
        <w:rPr>
          <w:rFonts w:hint="eastAsia" w:ascii="宋体" w:hAnsi="宋体" w:eastAsia="宋体" w:cs="宋体"/>
          <w:color w:val="auto"/>
          <w:sz w:val="24"/>
          <w:szCs w:val="24"/>
        </w:rPr>
        <w:t>付合同总金额</w:t>
      </w:r>
      <w:r>
        <w:rPr>
          <w:rFonts w:hint="eastAsia" w:ascii="宋体" w:hAnsi="宋体" w:eastAsia="宋体" w:cs="宋体"/>
          <w:color w:val="auto"/>
          <w:sz w:val="24"/>
          <w:szCs w:val="24"/>
          <w:lang w:eastAsia="zh-CN"/>
        </w:rPr>
        <w:t>（含税，下同）</w:t>
      </w:r>
      <w:r>
        <w:rPr>
          <w:rFonts w:hint="eastAsia" w:ascii="宋体" w:hAnsi="宋体" w:eastAsia="宋体" w:cs="宋体"/>
          <w:color w:val="auto"/>
          <w:sz w:val="24"/>
          <w:szCs w:val="24"/>
          <w:u w:val="single" w:color="000000"/>
        </w:rPr>
        <w:t>5</w:t>
      </w:r>
      <w:r>
        <w:rPr>
          <w:rFonts w:hint="eastAsia" w:ascii="宋体" w:hAnsi="宋体" w:eastAsia="宋体" w:cs="宋体"/>
          <w:color w:val="auto"/>
          <w:sz w:val="24"/>
          <w:szCs w:val="24"/>
        </w:rPr>
        <w:t>%的违约金。</w:t>
      </w:r>
    </w:p>
    <w:p w14:paraId="01030F8A">
      <w:pPr>
        <w:widowControl w:val="0"/>
        <w:adjustRightInd w:val="0"/>
        <w:spacing w:line="50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5实际发货量可超出</w:t>
      </w:r>
      <w:r>
        <w:rPr>
          <w:rFonts w:hint="eastAsia" w:ascii="宋体" w:hAnsi="宋体" w:eastAsia="宋体" w:cs="宋体"/>
          <w:color w:val="auto"/>
          <w:sz w:val="24"/>
          <w:szCs w:val="24"/>
          <w:lang w:eastAsia="zh-CN"/>
        </w:rPr>
        <w:t>合同量不多于</w:t>
      </w:r>
      <w:r>
        <w:rPr>
          <w:rFonts w:hint="eastAsia" w:ascii="宋体" w:hAnsi="宋体" w:eastAsia="宋体" w:cs="宋体"/>
          <w:color w:val="auto"/>
          <w:sz w:val="24"/>
          <w:szCs w:val="24"/>
          <w:lang w:val="en-US" w:eastAsia="zh-CN"/>
        </w:rPr>
        <w:t>10%，大于</w:t>
      </w:r>
      <w:r>
        <w:rPr>
          <w:rFonts w:hint="eastAsia" w:ascii="宋体" w:hAnsi="宋体" w:eastAsia="宋体" w:cs="宋体"/>
          <w:color w:val="auto"/>
          <w:sz w:val="24"/>
          <w:szCs w:val="24"/>
        </w:rPr>
        <w:t>约定发货量</w:t>
      </w:r>
      <w:r>
        <w:rPr>
          <w:rFonts w:hint="eastAsia" w:ascii="宋体" w:hAnsi="宋体" w:eastAsia="宋体" w:cs="宋体"/>
          <w:color w:val="000000" w:themeColor="text1"/>
          <w:sz w:val="24"/>
          <w:szCs w:val="24"/>
          <w14:textFill>
            <w14:solidFill>
              <w14:schemeClr w14:val="tx1"/>
            </w14:solidFill>
          </w14:textFill>
        </w:rPr>
        <w:t>的部分，甲方有权拒收。由此产生的一切后果由乙方自行承担。</w:t>
      </w:r>
    </w:p>
    <w:p w14:paraId="31994E01">
      <w:pPr>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w:t>
      </w:r>
      <w:r>
        <w:rPr>
          <w:rFonts w:hint="eastAsia" w:ascii="宋体" w:hAnsi="宋体" w:eastAsia="宋体" w:cs="宋体"/>
          <w:b/>
          <w:bCs/>
          <w:color w:val="000000" w:themeColor="text1"/>
          <w:sz w:val="24"/>
          <w:szCs w:val="24"/>
          <w:lang w:eastAsia="zh-CN"/>
          <w14:textFill>
            <w14:solidFill>
              <w14:schemeClr w14:val="tx1"/>
            </w14:solidFill>
          </w14:textFill>
        </w:rPr>
        <w:t>六</w:t>
      </w:r>
      <w:r>
        <w:rPr>
          <w:rFonts w:hint="eastAsia" w:ascii="宋体" w:hAnsi="宋体" w:eastAsia="宋体" w:cs="宋体"/>
          <w:b/>
          <w:bCs/>
          <w:color w:val="000000" w:themeColor="text1"/>
          <w:sz w:val="24"/>
          <w:szCs w:val="24"/>
          <w14:textFill>
            <w14:solidFill>
              <w14:schemeClr w14:val="tx1"/>
            </w14:solidFill>
          </w14:textFill>
        </w:rPr>
        <w:t>条 价款</w:t>
      </w:r>
    </w:p>
    <w:p w14:paraId="2C1BB09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6.1本合同有效期自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日起至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日止。</w:t>
      </w:r>
    </w:p>
    <w:p w14:paraId="4BD514C8">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6.2本合同第一条采购清单中所列明的单价不含税</w:t>
      </w:r>
      <w:r>
        <w:rPr>
          <w:rFonts w:hint="eastAsia" w:ascii="宋体" w:hAnsi="宋体" w:eastAsia="宋体" w:cs="宋体"/>
          <w:sz w:val="24"/>
          <w:szCs w:val="24"/>
          <w:lang w:eastAsia="zh-Hans"/>
        </w:rPr>
        <w:t>金额</w:t>
      </w:r>
      <w:r>
        <w:rPr>
          <w:rFonts w:hint="eastAsia" w:ascii="宋体" w:hAnsi="宋体" w:eastAsia="宋体" w:cs="宋体"/>
          <w:sz w:val="24"/>
          <w:szCs w:val="24"/>
        </w:rPr>
        <w:t>为固定单价，在本合同有效期内，该价格不随乙方实际生产成本、市场销售价格等因素的波动而改变。</w:t>
      </w:r>
    </w:p>
    <w:p w14:paraId="4749FD51">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6.3</w:t>
      </w:r>
      <w:r>
        <w:rPr>
          <w:rFonts w:hint="eastAsia" w:ascii="宋体" w:hAnsi="宋体" w:eastAsia="宋体" w:cs="宋体"/>
          <w:color w:val="000000" w:themeColor="text1"/>
          <w:sz w:val="24"/>
          <w:szCs w:val="24"/>
          <w:u w:val="none"/>
          <w14:textFill>
            <w14:solidFill>
              <w14:schemeClr w14:val="tx1"/>
            </w14:solidFill>
          </w14:textFill>
        </w:rPr>
        <w:t>本合同第一条采购清单中的单价含税</w:t>
      </w:r>
      <w:r>
        <w:rPr>
          <w:rFonts w:hint="eastAsia" w:ascii="宋体" w:hAnsi="宋体" w:eastAsia="宋体" w:cs="宋体"/>
          <w:color w:val="000000" w:themeColor="text1"/>
          <w:sz w:val="24"/>
          <w:szCs w:val="24"/>
          <w:u w:val="none"/>
          <w:lang w:eastAsia="zh-Hans"/>
          <w14:textFill>
            <w14:solidFill>
              <w14:schemeClr w14:val="tx1"/>
            </w14:solidFill>
          </w14:textFill>
        </w:rPr>
        <w:t>金额</w:t>
      </w:r>
      <w:r>
        <w:rPr>
          <w:rFonts w:hint="eastAsia" w:ascii="宋体" w:hAnsi="宋体" w:eastAsia="宋体" w:cs="宋体"/>
          <w:color w:val="000000" w:themeColor="text1"/>
          <w:sz w:val="24"/>
          <w:szCs w:val="24"/>
          <w:u w:val="none"/>
          <w14:textFill>
            <w14:solidFill>
              <w14:schemeClr w14:val="tx1"/>
            </w14:solidFill>
          </w14:textFill>
        </w:rPr>
        <w:t>包含但不限于货物的价款、税金、备品备件的价格、技术服务（包括技术资料、图纸的提供）、专用工具费、包装费用、运输费用、保险费用、装车费用、指导安装调试费用、三包及售后服务费用、专利或专有技术使用费等所需的全部费用，甲方不须另付任何费用</w:t>
      </w:r>
      <w:r>
        <w:rPr>
          <w:rFonts w:hint="eastAsia" w:ascii="宋体" w:hAnsi="宋体" w:eastAsia="宋体" w:cs="宋体"/>
          <w:color w:val="000000" w:themeColor="text1"/>
          <w:sz w:val="24"/>
          <w:szCs w:val="24"/>
          <w14:textFill>
            <w14:solidFill>
              <w14:schemeClr w14:val="tx1"/>
            </w14:solidFill>
          </w14:textFill>
        </w:rPr>
        <w:t>。</w:t>
      </w:r>
    </w:p>
    <w:p w14:paraId="33F7370B">
      <w:pPr>
        <w:adjustRightInd w:val="0"/>
        <w:spacing w:line="500" w:lineRule="exact"/>
        <w:ind w:firstLine="480" w:firstLineChars="200"/>
        <w:contextualSpacing/>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6.4乙方应当在每批货物验收合格后、甲方支付货款前向甲方开具合法、有效的增值税</w:t>
      </w:r>
      <w:r>
        <w:rPr>
          <w:rFonts w:hint="eastAsia" w:ascii="宋体" w:hAnsi="宋体" w:eastAsia="宋体" w:cs="宋体"/>
          <w:color w:val="000000" w:themeColor="text1"/>
          <w:sz w:val="24"/>
          <w:szCs w:val="24"/>
          <w:u w:val="single"/>
          <w14:textFill>
            <w14:solidFill>
              <w14:schemeClr w14:val="tx1"/>
            </w14:solidFill>
          </w14:textFill>
        </w:rPr>
        <w:t>专用</w:t>
      </w:r>
      <w:r>
        <w:rPr>
          <w:rFonts w:hint="eastAsia" w:ascii="宋体" w:hAnsi="宋体" w:eastAsia="宋体" w:cs="宋体"/>
          <w:color w:val="000000" w:themeColor="text1"/>
          <w:sz w:val="24"/>
          <w:szCs w:val="24"/>
          <w14:textFill>
            <w14:solidFill>
              <w14:schemeClr w14:val="tx1"/>
            </w14:solidFill>
          </w14:textFill>
        </w:rPr>
        <w:t>发票，发票金额以当批货物合同货款金额为准，并备注合同号、品名、型号规格、数量、单价、总金额，且该发票开票日期须晚于当批货物验收合格日期，如因乙方原因不能及时提供增值税</w:t>
      </w:r>
      <w:r>
        <w:rPr>
          <w:rFonts w:hint="eastAsia" w:ascii="宋体" w:hAnsi="宋体" w:eastAsia="宋体" w:cs="宋体"/>
          <w:color w:val="000000" w:themeColor="text1"/>
          <w:sz w:val="24"/>
          <w:szCs w:val="24"/>
          <w:u w:val="none"/>
          <w14:textFill>
            <w14:solidFill>
              <w14:schemeClr w14:val="tx1"/>
            </w14:solidFill>
          </w14:textFill>
        </w:rPr>
        <w:t>专用</w:t>
      </w:r>
      <w:r>
        <w:rPr>
          <w:rFonts w:hint="eastAsia" w:ascii="宋体" w:hAnsi="宋体" w:eastAsia="宋体" w:cs="宋体"/>
          <w:color w:val="000000" w:themeColor="text1"/>
          <w:sz w:val="24"/>
          <w:szCs w:val="24"/>
          <w14:textFill>
            <w14:solidFill>
              <w14:schemeClr w14:val="tx1"/>
            </w14:solidFill>
          </w14:textFill>
        </w:rPr>
        <w:t>发票的，甲方有权延期付款且不承担任何违约责任。</w:t>
      </w:r>
    </w:p>
    <w:p w14:paraId="0DD5A748">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6.5双方遵循先货后款原则，货到验收合格后取得合法发票，收到发票20天内挂账，结算的方式如下：</w:t>
      </w:r>
    </w:p>
    <w:p w14:paraId="369AA4D3">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方式一：支付银行承兑汇票为挂账月起第</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个月支付；</w:t>
      </w:r>
    </w:p>
    <w:p w14:paraId="58B8C23F">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方式二：支付货币为挂账月起第</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个</w:t>
      </w:r>
      <w:r>
        <w:rPr>
          <w:rFonts w:hint="eastAsia" w:ascii="宋体" w:hAnsi="宋体" w:eastAsia="宋体" w:cs="宋体"/>
          <w:color w:val="000000" w:themeColor="text1"/>
          <w:sz w:val="24"/>
          <w:szCs w:val="24"/>
          <w14:textFill>
            <w14:solidFill>
              <w14:schemeClr w14:val="tx1"/>
            </w14:solidFill>
          </w14:textFill>
        </w:rPr>
        <w:t>月支付。</w:t>
      </w:r>
    </w:p>
    <w:p w14:paraId="584049ED">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6.6双方遵循先货后款原则，如有需要可分期分批交货分批结算。</w:t>
      </w:r>
    </w:p>
    <w:p w14:paraId="51FE4F15">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6.7付款方式为电汇。乙方账户如有变更，应以乙方出具的加盖单位公章并经法定代表人签署的书面文件为准。</w:t>
      </w:r>
    </w:p>
    <w:p w14:paraId="05ED7477">
      <w:pPr>
        <w:adjustRightInd w:val="0"/>
        <w:snapToGrid w:val="0"/>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6.8如乙方未按期向甲方提供发票，甲方有权推迟付款，直到乙</w:t>
      </w:r>
      <w:r>
        <w:rPr>
          <w:rFonts w:hint="eastAsia" w:ascii="宋体" w:hAnsi="宋体" w:eastAsia="宋体" w:cs="宋体"/>
          <w:color w:val="000000" w:themeColor="text1"/>
          <w:spacing w:val="-20"/>
          <w:sz w:val="24"/>
          <w:szCs w:val="24"/>
          <w14:textFill>
            <w14:solidFill>
              <w14:schemeClr w14:val="tx1"/>
            </w14:solidFill>
          </w14:textFill>
        </w:rPr>
        <w:t>方按照甲方要求提供发票后再</w:t>
      </w:r>
      <w:r>
        <w:rPr>
          <w:rFonts w:hint="eastAsia" w:ascii="宋体" w:hAnsi="宋体" w:eastAsia="宋体" w:cs="宋体"/>
          <w:color w:val="000000" w:themeColor="text1"/>
          <w:spacing w:val="-20"/>
          <w:sz w:val="24"/>
          <w:szCs w:val="24"/>
          <w:lang w:eastAsia="zh-Hans"/>
          <w14:textFill>
            <w14:solidFill>
              <w14:schemeClr w14:val="tx1"/>
            </w14:solidFill>
          </w14:textFill>
        </w:rPr>
        <w:t>支付</w:t>
      </w:r>
      <w:r>
        <w:rPr>
          <w:rFonts w:hint="eastAsia" w:ascii="宋体" w:hAnsi="宋体" w:eastAsia="宋体" w:cs="宋体"/>
          <w:color w:val="000000" w:themeColor="text1"/>
          <w:spacing w:val="-20"/>
          <w:sz w:val="24"/>
          <w:szCs w:val="24"/>
          <w14:textFill>
            <w14:solidFill>
              <w14:schemeClr w14:val="tx1"/>
            </w14:solidFill>
          </w14:textFill>
        </w:rPr>
        <w:t>；甲方只与乙方结算，不与任何第三方结算。</w:t>
      </w:r>
    </w:p>
    <w:p w14:paraId="11200314">
      <w:pPr>
        <w:adjustRightInd w:val="0"/>
        <w:snapToGrid w:val="0"/>
        <w:spacing w:line="500" w:lineRule="exact"/>
        <w:ind w:firstLine="480" w:firstLineChars="200"/>
        <w:jc w:val="both"/>
        <w:rPr>
          <w:rFonts w:hint="eastAsia" w:ascii="宋体" w:hAnsi="宋体" w:eastAsia="宋体" w:cs="宋体"/>
          <w:color w:val="FF0000"/>
          <w:sz w:val="24"/>
          <w:szCs w:val="24"/>
        </w:rPr>
      </w:pPr>
      <w:r>
        <w:rPr>
          <w:rFonts w:hint="eastAsia" w:ascii="宋体" w:hAnsi="宋体" w:eastAsia="宋体" w:cs="宋体"/>
          <w:color w:val="auto"/>
          <w:sz w:val="24"/>
          <w:szCs w:val="24"/>
        </w:rPr>
        <w:t>6.9本次采购</w:t>
      </w:r>
      <w:r>
        <w:rPr>
          <w:rFonts w:hint="eastAsia" w:ascii="宋体" w:hAnsi="宋体" w:eastAsia="宋体" w:cs="宋体"/>
          <w:color w:val="auto"/>
          <w:sz w:val="24"/>
          <w:szCs w:val="24"/>
          <w:lang w:eastAsia="zh-CN"/>
        </w:rPr>
        <w:t>乙方应</w:t>
      </w:r>
      <w:r>
        <w:rPr>
          <w:rFonts w:hint="eastAsia" w:ascii="宋体" w:hAnsi="宋体" w:eastAsia="宋体" w:cs="宋体"/>
          <w:color w:val="auto"/>
          <w:sz w:val="24"/>
          <w:szCs w:val="24"/>
        </w:rPr>
        <w:t>对</w:t>
      </w:r>
      <w:r>
        <w:rPr>
          <w:rFonts w:hint="eastAsia" w:ascii="宋体" w:hAnsi="宋体" w:eastAsia="宋体" w:cs="宋体"/>
          <w:color w:val="auto"/>
          <w:sz w:val="24"/>
          <w:szCs w:val="24"/>
          <w:lang w:eastAsia="zh-CN"/>
        </w:rPr>
        <w:t>甲方方额外缴纳</w:t>
      </w:r>
      <w:r>
        <w:rPr>
          <w:rFonts w:hint="eastAsia" w:ascii="宋体" w:hAnsi="宋体" w:eastAsia="宋体" w:cs="宋体"/>
          <w:color w:val="auto"/>
          <w:sz w:val="24"/>
          <w:szCs w:val="24"/>
          <w:highlight w:val="none"/>
        </w:rPr>
        <w:t>合同履约保证金</w:t>
      </w:r>
      <w:r>
        <w:rPr>
          <w:rFonts w:hint="eastAsia" w:ascii="宋体" w:hAnsi="宋体" w:eastAsia="宋体" w:cs="宋体"/>
          <w:color w:val="auto"/>
          <w:sz w:val="24"/>
          <w:szCs w:val="24"/>
          <w:highlight w:val="none"/>
          <w:lang w:eastAsia="zh-CN"/>
        </w:rPr>
        <w:t>。乙方应在合同签订后3个工作日内，以银行转账方式向甲方银行账户内足额缴纳履约保证金。乙方未按约定时间足额缴纳的，甲方有权暂缓订单下达、暂缓货款支付，且不承担任何违约责任。</w:t>
      </w:r>
    </w:p>
    <w:p w14:paraId="575FAA69">
      <w:pPr>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6.10乙方指定收款账号</w:t>
      </w:r>
    </w:p>
    <w:p w14:paraId="32FBA4E2">
      <w:pPr>
        <w:widowControl w:val="0"/>
        <w:adjustRightInd w:val="0"/>
        <w:spacing w:line="500" w:lineRule="exact"/>
        <w:ind w:firstLine="480" w:firstLineChars="200"/>
        <w:jc w:val="both"/>
        <w:rPr>
          <w:rFonts w:hint="eastAsia" w:ascii="宋体" w:hAnsi="宋体" w:eastAsia="宋体" w:cs="宋体"/>
          <w:color w:val="000000" w:themeColor="text1"/>
          <w:sz w:val="24"/>
          <w:szCs w:val="24"/>
          <w:lang w:eastAsia="zh-CN"/>
          <w14:textFill>
            <w14:solidFill>
              <w14:schemeClr w14:val="tx1"/>
            </w14:solidFill>
          </w14:textFill>
        </w:rPr>
      </w:pPr>
      <w:bookmarkStart w:id="2" w:name="_Hlk109134938"/>
      <w:r>
        <w:rPr>
          <w:rFonts w:hint="eastAsia" w:ascii="宋体" w:hAnsi="宋体" w:eastAsia="宋体" w:cs="宋体"/>
          <w:color w:val="000000" w:themeColor="text1"/>
          <w:sz w:val="24"/>
          <w:szCs w:val="24"/>
          <w14:textFill>
            <w14:solidFill>
              <w14:schemeClr w14:val="tx1"/>
            </w14:solidFill>
          </w14:textFill>
        </w:rPr>
        <w:t>户名：</w:t>
      </w:r>
    </w:p>
    <w:p w14:paraId="019C9E70">
      <w:pPr>
        <w:widowControl w:val="0"/>
        <w:adjustRightInd w:val="0"/>
        <w:spacing w:line="500" w:lineRule="exact"/>
        <w:ind w:firstLine="480" w:firstLineChars="200"/>
        <w:jc w:val="both"/>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账号：</w:t>
      </w:r>
    </w:p>
    <w:p w14:paraId="5CB9BCCB">
      <w:pPr>
        <w:widowControl w:val="0"/>
        <w:adjustRightInd w:val="0"/>
        <w:spacing w:line="500" w:lineRule="exact"/>
        <w:ind w:firstLine="480" w:firstLineChars="200"/>
        <w:jc w:val="both"/>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开户行：</w:t>
      </w:r>
    </w:p>
    <w:bookmarkEnd w:id="2"/>
    <w:p w14:paraId="6393C42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如乙方的上述账户资料发生变更，需提前3个工作日书面通知甲方，否则一切后果由乙方承担。甲方将款项向上述账户中汇出，即视为完成付款义务。</w:t>
      </w:r>
    </w:p>
    <w:p w14:paraId="5CF27BE9">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6.11甲方发票信息</w:t>
      </w:r>
    </w:p>
    <w:p w14:paraId="38D1984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bookmarkStart w:id="3" w:name="_Hlk109134970"/>
      <w:r>
        <w:rPr>
          <w:rFonts w:hint="eastAsia" w:ascii="宋体" w:hAnsi="宋体" w:eastAsia="宋体" w:cs="宋体"/>
          <w:color w:val="000000" w:themeColor="text1"/>
          <w:sz w:val="24"/>
          <w:szCs w:val="24"/>
          <w14:textFill>
            <w14:solidFill>
              <w14:schemeClr w14:val="tx1"/>
            </w14:solidFill>
          </w14:textFill>
        </w:rPr>
        <w:t>税号：</w:t>
      </w:r>
    </w:p>
    <w:p w14:paraId="0786B8E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p>
    <w:p w14:paraId="04CE32E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电话：</w:t>
      </w:r>
    </w:p>
    <w:p w14:paraId="065DFCFA">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开户行：</w:t>
      </w:r>
    </w:p>
    <w:p w14:paraId="2930E4C9">
      <w:pPr>
        <w:widowControl w:val="0"/>
        <w:adjustRightInd w:val="0"/>
        <w:snapToGrid w:val="0"/>
        <w:spacing w:line="500" w:lineRule="exact"/>
        <w:ind w:firstLine="480"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银行账号：</w:t>
      </w:r>
    </w:p>
    <w:bookmarkEnd w:id="3"/>
    <w:p w14:paraId="4D577441">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第七条 货物保修和售后服务</w:t>
      </w:r>
    </w:p>
    <w:p w14:paraId="73F1BA4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7.1质保期内，货物产生一切质量问题的，甲方均有权要求乙方按照甲方要求提供免费退、换货服务。甲方发现产品出现质量问题的，可以书面通知乙方，乙方应在接到通知当日内进行回复确认，并在24小时内为甲方安排退、换货事宜。由此产生的费用及给甲方造成的损失，由乙方全部承担。</w:t>
      </w:r>
    </w:p>
    <w:p w14:paraId="6D7CC9D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7.2质保期届满后，在货物使用寿命范围内，乙方对货物提供保修服务。保修期间，乙方免费上门维修，</w:t>
      </w:r>
      <w:r>
        <w:rPr>
          <w:rFonts w:hint="eastAsia" w:ascii="宋体" w:hAnsi="宋体" w:eastAsia="宋体" w:cs="宋体"/>
          <w:color w:val="000000" w:themeColor="text1"/>
          <w:sz w:val="24"/>
          <w:szCs w:val="24"/>
          <w:highlight w:val="none"/>
          <w:lang w:eastAsia="zh-CN"/>
          <w14:textFill>
            <w14:solidFill>
              <w14:schemeClr w14:val="tx1"/>
            </w14:solidFill>
          </w14:textFill>
        </w:rPr>
        <w:t>乙方应在</w:t>
      </w:r>
      <w:r>
        <w:rPr>
          <w:rFonts w:hint="eastAsia" w:ascii="宋体" w:hAnsi="宋体" w:eastAsia="宋体" w:cs="宋体"/>
          <w:color w:val="000000" w:themeColor="text1"/>
          <w:sz w:val="24"/>
          <w:szCs w:val="24"/>
          <w:highlight w:val="none"/>
          <w14:textFill>
            <w14:solidFill>
              <w14:schemeClr w14:val="tx1"/>
            </w14:solidFill>
          </w14:textFill>
        </w:rPr>
        <w:t>接到通知后</w:t>
      </w:r>
      <w:r>
        <w:rPr>
          <w:rFonts w:hint="eastAsia" w:ascii="宋体" w:hAnsi="宋体" w:eastAsia="宋体" w:cs="宋体"/>
          <w:color w:val="000000" w:themeColor="text1"/>
          <w:sz w:val="24"/>
          <w:szCs w:val="24"/>
          <w:highlight w:val="non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14:textFill>
            <w14:solidFill>
              <w14:schemeClr w14:val="tx1"/>
            </w14:solidFill>
          </w14:textFill>
        </w:rPr>
        <w:t>48小时内赶到使用现场及时服务、维修。</w:t>
      </w: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kern w:val="0"/>
          <w:sz w:val="24"/>
          <w:szCs w:val="24"/>
          <w:highlight w:val="none"/>
          <w14:textFill>
            <w14:solidFill>
              <w14:schemeClr w14:val="tx1"/>
            </w14:solidFill>
          </w14:textFill>
        </w:rPr>
        <w:t>进入现场服务，需遵守</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送货对应现场的</w:t>
      </w:r>
      <w:r>
        <w:rPr>
          <w:rFonts w:hint="eastAsia" w:ascii="宋体" w:hAnsi="宋体" w:eastAsia="宋体" w:cs="宋体"/>
          <w:color w:val="000000" w:themeColor="text1"/>
          <w:kern w:val="0"/>
          <w:sz w:val="24"/>
          <w:szCs w:val="24"/>
          <w:highlight w:val="none"/>
          <w14:textFill>
            <w14:solidFill>
              <w14:schemeClr w14:val="tx1"/>
            </w14:solidFill>
          </w14:textFill>
        </w:rPr>
        <w:t>相关管理规定。</w:t>
      </w:r>
      <w:r>
        <w:rPr>
          <w:rFonts w:hint="eastAsia" w:ascii="宋体" w:hAnsi="宋体" w:eastAsia="宋体" w:cs="宋体"/>
          <w:color w:val="000000" w:themeColor="text1"/>
          <w:sz w:val="24"/>
          <w:szCs w:val="24"/>
          <w14:textFill>
            <w14:solidFill>
              <w14:schemeClr w14:val="tx1"/>
            </w14:solidFill>
          </w14:textFill>
        </w:rPr>
        <w:t>如需维修配件的，由甲方支付配件费，乙方应在签订本合同时提供配件费清单，在货物使用寿命范围内不得以任何理由涨价或断货。</w:t>
      </w:r>
    </w:p>
    <w:p w14:paraId="2B58B48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7.3乙方保证提供的合同项下全部货物必须是全新的并且没有设计、材料及工艺上的缺陷，完全符合合同规定的品牌、质量、规格、性能要求和质量标准，并有产品合格证或产品质量证明书。严禁提供假冒伪劣产品，一经发现，甲方有权拒收或退、换货，并有权解除本合同，且因此而产生的一切费用和责任由乙方承担，同时乙方应向甲方支付违约金</w:t>
      </w:r>
      <w:r>
        <w:rPr>
          <w:rFonts w:hint="eastAsia" w:ascii="宋体" w:hAnsi="宋体" w:eastAsia="宋体" w:cs="宋体"/>
          <w:color w:val="000000" w:themeColor="text1"/>
          <w:sz w:val="24"/>
          <w:szCs w:val="24"/>
          <w:lang w:eastAsia="zh-CN"/>
          <w14:textFill>
            <w14:solidFill>
              <w14:schemeClr w14:val="tx1"/>
            </w14:solidFill>
          </w14:textFill>
        </w:rPr>
        <w:t>，具</w:t>
      </w:r>
      <w:r>
        <w:rPr>
          <w:rFonts w:hint="eastAsia" w:ascii="宋体" w:hAnsi="宋体" w:eastAsia="宋体" w:cs="宋体"/>
          <w:color w:val="000000" w:themeColor="text1"/>
          <w:sz w:val="24"/>
          <w:szCs w:val="24"/>
          <w:u w:val="none"/>
          <w:lang w:eastAsia="zh-CN"/>
          <w14:textFill>
            <w14:solidFill>
              <w14:schemeClr w14:val="tx1"/>
            </w14:solidFill>
          </w14:textFill>
        </w:rPr>
        <w:t>体</w:t>
      </w:r>
      <w:r>
        <w:rPr>
          <w:rFonts w:hint="eastAsia" w:ascii="宋体" w:hAnsi="宋体" w:eastAsia="宋体" w:cs="宋体"/>
          <w:color w:val="auto"/>
          <w:sz w:val="24"/>
          <w:szCs w:val="24"/>
          <w:u w:val="none"/>
          <w:lang w:eastAsia="zh-CN"/>
        </w:rPr>
        <w:t>金额</w:t>
      </w:r>
      <w:r>
        <w:rPr>
          <w:rFonts w:hint="eastAsia" w:ascii="宋体" w:hAnsi="宋体" w:eastAsia="宋体" w:cs="宋体"/>
          <w:color w:val="auto"/>
          <w:sz w:val="24"/>
          <w:szCs w:val="24"/>
          <w:u w:val="none"/>
        </w:rPr>
        <w:t>按照本合同15.1.19执行。</w:t>
      </w:r>
    </w:p>
    <w:p w14:paraId="198B6372">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第八条 知识产权</w:t>
      </w:r>
    </w:p>
    <w:p w14:paraId="3EA73FE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8.1乙方保证签订和履行本合同不会侵犯其他相关方的任何合法权益。因履行本合同导致第三方向甲方主张侵犯其合法知识产权等合法权益的，应由乙方负责应对并承担所有费用。若甲方应对时，乙方应全力配合并承担甲方因此承担的所有费用（包括但不限于赔偿金、诉讼费、律师费及其他合理费用）。</w:t>
      </w:r>
    </w:p>
    <w:p w14:paraId="20BFF72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8.2本合同中任何条款均不能被解释为一方对其他方明示或默示地授予任何知识产权的使用许可。双方承诺尊重并保护对方的知识产权，不得在依据本合同而签订的其他具体合作协议约定的许可范围之外使用对方知识产权。</w:t>
      </w:r>
    </w:p>
    <w:p w14:paraId="6B3ED10B">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第九条 不可抗力</w:t>
      </w:r>
    </w:p>
    <w:p w14:paraId="1B94C55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所称不可抗力是指不能预见、不能避免并不能克服的客观情况，包括但不限于疫情、地震、海啸、台风、海浪、洪水、蝗灾、风暴、冰雹、沙尘暴、火山爆发、山体滑坡、雪崩、泥石流、战争、武装冲突、罢工、骚乱、暴动等。任何一方由于不可抗力的原因不能或迟延履行合同时，应在不可抗力发生后2日内向对方通报不能或迟延履行的情况及理由，并在15日内向对方送达证明不可抗力发生的文件。因不可抗力原因致使本合同无法如约履行的，可根据不可抗力的影响程度协商变更、解除或终止本合同。因不可抗力原因致使变更、解除或终止本合同的，双方互不承担违约责任。</w:t>
      </w:r>
    </w:p>
    <w:p w14:paraId="384E41F0">
      <w:pPr>
        <w:widowControl w:val="0"/>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第十条 保密</w:t>
      </w:r>
    </w:p>
    <w:p w14:paraId="3EBD688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本合同一方作为披露方向另一方作为接收方提供的</w:t>
      </w:r>
      <w:r>
        <w:rPr>
          <w:rFonts w:hint="eastAsia" w:ascii="宋体" w:hAnsi="宋体" w:eastAsia="宋体" w:cs="宋体"/>
          <w:color w:val="000000" w:themeColor="text1"/>
          <w:sz w:val="24"/>
          <w:szCs w:val="24"/>
          <w:lang w:eastAsia="zh-Hans"/>
          <w14:textFill>
            <w14:solidFill>
              <w14:schemeClr w14:val="tx1"/>
            </w14:solidFill>
          </w14:textFill>
        </w:rPr>
        <w:t>技术信息或经营信息作为</w:t>
      </w:r>
      <w:r>
        <w:rPr>
          <w:rFonts w:hint="eastAsia" w:ascii="宋体" w:hAnsi="宋体" w:eastAsia="宋体" w:cs="宋体"/>
          <w:color w:val="000000" w:themeColor="text1"/>
          <w:sz w:val="24"/>
          <w:szCs w:val="24"/>
          <w14:textFill>
            <w14:solidFill>
              <w14:schemeClr w14:val="tx1"/>
            </w14:solidFill>
          </w14:textFill>
        </w:rPr>
        <w:t>保密信息，未经披露方事先书面授权，接收方不得以任何方式向其他方泄露、转让、许可使用、交换、赠与等，亦不得用于本合同之外的其他任何用途，但是，下述情形除外：（1）披露时已经被公众知晓的信息。（2）披露后非因接收方的原因被公众知晓的信息。（3）披露时接收方已经拥有的信息。（4）因政府机关、法院或其他权利机构依法要求披露的信息等。接收方应将保密信息向基于本合同需要知晓保密信息的人员披露。接收方应要求该等人员遵守并履行本条款的保密义务。</w:t>
      </w:r>
    </w:p>
    <w:p w14:paraId="0A718679">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第十一条 权利义务转让</w:t>
      </w:r>
    </w:p>
    <w:p w14:paraId="35169CA8">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未经一方事前书面同意，另一方不得将本合同项下权利义务的一部分或全部转让给第三方。</w:t>
      </w:r>
    </w:p>
    <w:p w14:paraId="070323DC">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第十二条 通知与送达</w:t>
      </w:r>
    </w:p>
    <w:p w14:paraId="64A1AF9B">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本合同需要发出的全部通知以及甲方与乙方的文件往来及与本合同有关的通知和要求等，应以书面形式进行；甲方给予乙方或乙方给予甲方书面通知一经以对方在本合同尾页所列的地址为收件地址，并以对方为收件人交邮七日后或以专人送至前述地址，即视为已送达。本合同尾页所列地址，亦作为甲乙双方就本合同发生争议时，送达相关文件及法律文书的有效送达地址，该送达地址的适用范围包括非诉阶段和争议进入仲裁或民事诉讼程序后的一审、二审、再审和执行程序，双方自愿承担送达的法律后果。</w:t>
      </w:r>
    </w:p>
    <w:p w14:paraId="2DC76E4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如任何一方变更地址的，应通过书面方式通知对方，否则应自行承担全部法律后果。</w:t>
      </w:r>
    </w:p>
    <w:p w14:paraId="1FB5D9E7">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lang w:eastAsia="zh-Hans"/>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第十三条 法律适用及语言</w:t>
      </w:r>
    </w:p>
    <w:p w14:paraId="4F974A5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本合同适用中华人民共和国法律。如本合同存在多种语言版本的，以中文文本为准。</w:t>
      </w:r>
    </w:p>
    <w:p w14:paraId="3F5B8288">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第十四条 合同的变更与解除</w:t>
      </w:r>
    </w:p>
    <w:p w14:paraId="26A80D6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14.1因甲方的原因变更本合同的，甲方应以书面形式通知乙方，并经双方协商一致签订有关变更文件。如因此造成乙方履行合同义务的成本或时间增减的，甲方可对合同价格、交货时间等进行公平调整。乙方据此要求的调整必须在收到甲方变更通知后</w:t>
      </w:r>
      <w:r>
        <w:rPr>
          <w:rFonts w:hint="eastAsia" w:ascii="宋体" w:hAnsi="宋体" w:eastAsia="宋体" w:cs="宋体"/>
          <w:color w:val="000000" w:themeColor="text1"/>
          <w:sz w:val="24"/>
          <w:szCs w:val="24"/>
          <w:lang w:val="en-US" w:eastAsia="zh-CN"/>
          <w14:textFill>
            <w14:solidFill>
              <w14:schemeClr w14:val="tx1"/>
            </w14:solidFill>
          </w14:textFill>
        </w:rPr>
        <w:t>15</w:t>
      </w:r>
      <w:r>
        <w:rPr>
          <w:rFonts w:hint="eastAsia" w:ascii="宋体" w:hAnsi="宋体" w:eastAsia="宋体" w:cs="宋体"/>
          <w:color w:val="000000" w:themeColor="text1"/>
          <w:sz w:val="24"/>
          <w:szCs w:val="24"/>
          <w14:textFill>
            <w14:solidFill>
              <w14:schemeClr w14:val="tx1"/>
            </w14:solidFill>
          </w14:textFill>
        </w:rPr>
        <w:t>日内提出，逾期提出的视为乙方无调整需求。</w:t>
      </w:r>
    </w:p>
    <w:p w14:paraId="73A930F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14.2即使双方变更本合同的，也不能免除乙方对已验收合格的货物应承担的质保责任。</w:t>
      </w:r>
    </w:p>
    <w:p w14:paraId="1835B72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14.3除本合同另有约定外，甲乙双方协商一致可解除本合同。一方依照本合同约定单方解除合同的，应当书面通知另一方，合同自书面通知到达另一方时解除。</w:t>
      </w:r>
    </w:p>
    <w:p w14:paraId="14458E53">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第十五条 违约责任及索赔</w:t>
      </w:r>
    </w:p>
    <w:p w14:paraId="7AAC703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15.1违约责任</w:t>
      </w:r>
    </w:p>
    <w:p w14:paraId="62C75E9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15.1.1乙方在接到甲方上架通知后应在7天内完成商品上架推送；若未在规定时间内完成上架推送的，甲方有权对每个延迟的SKU收取100元违约金；若未按合同约定时间完成商品上</w:t>
      </w:r>
      <w:r>
        <w:rPr>
          <w:rFonts w:hint="eastAsia" w:ascii="宋体" w:hAnsi="宋体" w:eastAsia="宋体" w:cs="宋体"/>
          <w:color w:val="000000" w:themeColor="text1"/>
          <w:spacing w:val="-20"/>
          <w:sz w:val="24"/>
          <w:szCs w:val="24"/>
          <w14:textFill>
            <w14:solidFill>
              <w14:schemeClr w14:val="tx1"/>
            </w14:solidFill>
          </w14:textFill>
        </w:rPr>
        <w:t>架</w:t>
      </w:r>
      <w:r>
        <w:rPr>
          <w:rFonts w:hint="eastAsia" w:ascii="宋体" w:hAnsi="宋体" w:eastAsia="宋体" w:cs="宋体"/>
          <w:strike w:val="0"/>
          <w:dstrike w:val="0"/>
          <w:color w:val="000000" w:themeColor="text1"/>
          <w:spacing w:val="-20"/>
          <w:sz w:val="24"/>
          <w:szCs w:val="24"/>
          <w:highlight w:val="none"/>
          <w14:textFill>
            <w14:solidFill>
              <w14:schemeClr w14:val="tx1"/>
            </w14:solidFill>
          </w14:textFill>
        </w:rPr>
        <w:t>的</w:t>
      </w:r>
      <w:r>
        <w:rPr>
          <w:rFonts w:hint="eastAsia" w:ascii="宋体" w:hAnsi="宋体" w:eastAsia="宋体" w:cs="宋体"/>
          <w:color w:val="000000" w:themeColor="text1"/>
          <w:spacing w:val="-20"/>
          <w:sz w:val="24"/>
          <w:szCs w:val="24"/>
          <w14:textFill>
            <w14:solidFill>
              <w14:schemeClr w14:val="tx1"/>
            </w14:solidFill>
          </w14:textFill>
        </w:rPr>
        <w:t>，甲方有权全额扣除乙方保证金并终止合作。</w:t>
      </w:r>
    </w:p>
    <w:p w14:paraId="3FC9663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15.1.2乙方应按照商品信息规范提交上架商品的商品信息，包括但不限于：名称、型号、图片、税收分类编码、税率、详情页等。甲方有权对每个不规范SKU收取100元违约金。</w:t>
      </w:r>
    </w:p>
    <w:p w14:paraId="2F64586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乙方应正确提交上架商品的价格、单位、倍数转换关系等影响价格结算的商品信息。甲方有权对每个不规范SKU收取500元违约金并要求乙方及时整改，已产生订单的在结算时扣除相应差价，乙方承担一切损失，甲方保留一切追诉权利。</w:t>
      </w:r>
    </w:p>
    <w:p w14:paraId="453D980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15.1.4若甲方及用户单位验收过程中发现乙方存在商品货不对版 、供应商私自更换品牌规格的问题，在未造成实际损失的情况下，甲方有权对乙方收取500元违约金,供应商需按用户单位要求进行相应退换货，至用户单位满意为止；在累计造成经济损失不超过10万元的情况下，甲方有权对乙方收取10000元违约金，乙方承担一切损失，甲方保留一切追诉权利；在累计造成经济损失超过10万元的情况下，扣除全额保证金，乙方承担一切损失，甲方保留一切追诉权利，并与乙方终止合作，上报加入黑名单。</w:t>
      </w:r>
    </w:p>
    <w:p w14:paraId="0478C75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15.1.5乙方应按照商城线上流程接受用户单位的退换货需求，乙方未经过甲方正常流程报备，私自与用户单位退换商品，甲方有权对乙方按每笔订单收取1000元违约金。</w:t>
      </w:r>
    </w:p>
    <w:p w14:paraId="4D8A2684">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15.1.6乙方送货订单无随货清单或未按甲方要求提供，每出现一例，甲方收取100元违约金。</w:t>
      </w:r>
    </w:p>
    <w:p w14:paraId="712A0E5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15.1.7乙方在合作服务过程中，若出现未按项目要求提供商品所需资料，或不符要求、不真实等情况（不限于虚假收货单据、检验报告、合格证等），每发生1次收取5000元违约金。</w:t>
      </w:r>
    </w:p>
    <w:p w14:paraId="3D0FEF2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15.1.8乙方在合作服务过程中，若出现未按合同约定履行送货及卸货责任，不提供送货、卸货或者临时加收运费、搬运费等情况，每发生1次收取500元违约金。</w:t>
      </w:r>
    </w:p>
    <w:p w14:paraId="3641C9E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15.1.9乙方在合作服务过程中，如果因乙方的安装或调试违反相关规定而导致任何法律责任或罚款，乙方应承担全部责任。在安装或调试完成后，甲方及用户单位发现任何与乙方提供的安装或调试服务有关的问题或缺陷，乙方应及时采取必要的措施进行纠正和修复，并承担由此产生的所有费用和责任，甲方保留一切追诉权利。</w:t>
      </w:r>
    </w:p>
    <w:p w14:paraId="34D4945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15.1.10乙方在合作服务过程中，若出现涉嫌虚开发票情况，甲方有权扣除乙方全额保证金，并由乙方承担一切损失，甲方保留一切追诉权利。未收取履约保证金的，按该合同额的10%收取违约金。</w:t>
      </w:r>
    </w:p>
    <w:p w14:paraId="2598DAD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15.1.11乙方在合作服务过程中，若出现虚假交易、融资性贸易、线下与用户单位不正当交易等情况，甲方有权扣除乙方全额保证金，并由乙方承担一切损失，甲方保留一切追诉权利。未收取履约保证金的，按该合同</w:t>
      </w:r>
      <w:r>
        <w:rPr>
          <w:rFonts w:hint="eastAsia" w:ascii="宋体" w:hAnsi="宋体" w:eastAsia="宋体" w:cs="宋体"/>
          <w:color w:val="auto"/>
          <w:sz w:val="24"/>
          <w:szCs w:val="24"/>
          <w:lang w:eastAsia="zh-CN"/>
        </w:rPr>
        <w:t>总金</w:t>
      </w:r>
      <w:r>
        <w:rPr>
          <w:rFonts w:hint="eastAsia" w:ascii="宋体" w:hAnsi="宋体" w:eastAsia="宋体" w:cs="宋体"/>
          <w:color w:val="000000" w:themeColor="text1"/>
          <w:sz w:val="24"/>
          <w:szCs w:val="24"/>
          <w14:textFill>
            <w14:solidFill>
              <w14:schemeClr w14:val="tx1"/>
            </w14:solidFill>
          </w14:textFill>
        </w:rPr>
        <w:t>额的10%收取违约金。</w:t>
      </w:r>
    </w:p>
    <w:p w14:paraId="5D7E4AB7">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15.1.12乙方在合作服务过程中，若造成数据泄露、数据错乱等严重事故，甲方有权扣除乙方全额保证金，并由乙方承担一切损失，甲方保留一切追诉权利。未收取履约保证金的，按该合同</w:t>
      </w:r>
      <w:r>
        <w:rPr>
          <w:rFonts w:hint="eastAsia" w:ascii="宋体" w:hAnsi="宋体" w:eastAsia="宋体" w:cs="宋体"/>
          <w:color w:val="auto"/>
          <w:sz w:val="24"/>
          <w:szCs w:val="24"/>
          <w:lang w:eastAsia="zh-CN"/>
        </w:rPr>
        <w:t>总金</w:t>
      </w:r>
      <w:r>
        <w:rPr>
          <w:rFonts w:hint="eastAsia" w:ascii="宋体" w:hAnsi="宋体" w:eastAsia="宋体" w:cs="宋体"/>
          <w:color w:val="000000" w:themeColor="text1"/>
          <w:sz w:val="24"/>
          <w:szCs w:val="24"/>
          <w14:textFill>
            <w14:solidFill>
              <w14:schemeClr w14:val="tx1"/>
            </w14:solidFill>
          </w14:textFill>
        </w:rPr>
        <w:t>额的10%收取违约金。</w:t>
      </w:r>
    </w:p>
    <w:p w14:paraId="52077B9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15.1.13乙方应按照规定发货，并在订单发货24小时内同步订单的物流信息，如遇到特殊情况如自然灾害、政</w:t>
      </w:r>
      <w:r>
        <w:rPr>
          <w:rFonts w:hint="eastAsia" w:ascii="宋体" w:hAnsi="宋体" w:eastAsia="宋体" w:cs="宋体"/>
          <w:color w:val="auto"/>
          <w:sz w:val="24"/>
          <w:szCs w:val="24"/>
        </w:rPr>
        <w:t>府行为、社会异常事件等不可抗力应提前进行报备。如乙方超期发货，每延迟1日，甲方有权按该订单总额</w:t>
      </w:r>
      <w:r>
        <w:rPr>
          <w:rFonts w:hint="eastAsia" w:ascii="宋体" w:hAnsi="宋体" w:eastAsia="宋体" w:cs="宋体"/>
          <w:color w:val="auto"/>
          <w:sz w:val="24"/>
          <w:szCs w:val="24"/>
          <w:lang w:eastAsia="zh-CN"/>
        </w:rPr>
        <w:t>（含税，下同）</w:t>
      </w:r>
      <w:r>
        <w:rPr>
          <w:rFonts w:hint="eastAsia" w:ascii="宋体" w:hAnsi="宋体" w:eastAsia="宋体" w:cs="宋体"/>
          <w:color w:val="auto"/>
          <w:sz w:val="24"/>
          <w:szCs w:val="24"/>
        </w:rPr>
        <w:t>的3%收取违约金。如乙方出现虚假发货，</w:t>
      </w:r>
      <w:r>
        <w:rPr>
          <w:rFonts w:hint="eastAsia" w:ascii="宋体" w:hAnsi="宋体" w:eastAsia="宋体" w:cs="宋体"/>
          <w:color w:val="000000" w:themeColor="text1"/>
          <w:sz w:val="24"/>
          <w:szCs w:val="24"/>
          <w14:textFill>
            <w14:solidFill>
              <w14:schemeClr w14:val="tx1"/>
            </w14:solidFill>
          </w14:textFill>
        </w:rPr>
        <w:t>每发生1次收取500元违约金。</w:t>
      </w:r>
    </w:p>
    <w:p w14:paraId="170FDA1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15.1.14在订单生效开始后，如因乙方原因导致延迟到货（到货期限：现货订单15天、紧急订单72小时送到德邻工业品集配仓或客户指定地点），每延迟1天甲方或用户单位有权按该订单总额的1%收取违约金。</w:t>
      </w:r>
    </w:p>
    <w:p w14:paraId="3D4C7AAB">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15.1.15在订单生效后，如因乙方缺货或无货导致订单无法履约，甲方有权按该订单总额的10%收取违约金。</w:t>
      </w:r>
    </w:p>
    <w:p w14:paraId="7BF7B276">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15.1.16在订单生效后，如因乙方原因导致延迟对账或开票，甲方有权按照1000元/次向乙方收取违约金并延期支付货款。</w:t>
      </w:r>
    </w:p>
    <w:p w14:paraId="0ED8BDE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15.1.17在双方约定的供货时间内，乙方对不合格产品不能完成更换或维修，除乙方承担经济损失及责任外，每延迟1周甲方或用户单位有权按该订单总额的0.25%收取违约金，不满一周按一周计算。</w:t>
      </w:r>
    </w:p>
    <w:p w14:paraId="73D51E9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15.1.18乙方在未征得甲方及用户单位同意后，擅自关闭或取消订单等情况，除乙方承担经济损失及责任外，甲方有权按该订单总额的10%收取违约金。</w:t>
      </w:r>
    </w:p>
    <w:p w14:paraId="22A6ADF3">
      <w:pPr>
        <w:widowControl w:val="0"/>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15.1.19若甲方发现乙方提供货物并非</w:t>
      </w:r>
      <w:r>
        <w:rPr>
          <w:rFonts w:hint="eastAsia" w:ascii="宋体" w:hAnsi="宋体" w:eastAsia="宋体" w:cs="宋体"/>
          <w:color w:val="000000" w:themeColor="text1"/>
          <w:sz w:val="24"/>
          <w:szCs w:val="24"/>
          <w:highlight w:val="none"/>
          <w14:textFill>
            <w14:solidFill>
              <w14:schemeClr w14:val="tx1"/>
            </w14:solidFill>
          </w14:textFill>
        </w:rPr>
        <w:t>原厂正品，除由乙方承担由此为甲方带来的经济损失及相应责任外，甲方有权解除合同并扣</w:t>
      </w:r>
      <w:r>
        <w:rPr>
          <w:rFonts w:hint="eastAsia" w:ascii="宋体" w:hAnsi="宋体" w:eastAsia="宋体" w:cs="宋体"/>
          <w:color w:val="000000" w:themeColor="text1"/>
          <w:sz w:val="24"/>
          <w:szCs w:val="24"/>
          <w:highlight w:val="none"/>
          <w:lang w:eastAsia="zh-CN"/>
          <w14:textFill>
            <w14:solidFill>
              <w14:schemeClr w14:val="tx1"/>
            </w14:solidFill>
          </w14:textFill>
        </w:rPr>
        <w:t>除问题货物</w:t>
      </w:r>
      <w:r>
        <w:rPr>
          <w:rFonts w:hint="eastAsia" w:ascii="宋体" w:hAnsi="宋体" w:eastAsia="宋体" w:cs="宋体"/>
          <w:color w:val="auto"/>
          <w:sz w:val="24"/>
          <w:szCs w:val="24"/>
          <w:highlight w:val="none"/>
          <w:u w:val="none"/>
        </w:rPr>
        <w:t>订单总价的</w:t>
      </w:r>
      <w:r>
        <w:rPr>
          <w:rFonts w:hint="eastAsia" w:ascii="宋体" w:hAnsi="宋体" w:eastAsia="宋体" w:cs="宋体"/>
          <w:color w:val="auto"/>
          <w:sz w:val="24"/>
          <w:szCs w:val="24"/>
          <w:highlight w:val="none"/>
          <w:u w:val="none"/>
          <w:lang w:val="en-US" w:eastAsia="zh-CN"/>
        </w:rPr>
        <w:t>20%</w:t>
      </w:r>
      <w:r>
        <w:rPr>
          <w:rFonts w:hint="eastAsia" w:ascii="宋体" w:hAnsi="宋体" w:eastAsia="宋体" w:cs="宋体"/>
          <w:color w:val="auto"/>
          <w:sz w:val="24"/>
          <w:szCs w:val="24"/>
          <w:highlight w:val="none"/>
        </w:rPr>
        <w:t>作为违约金。</w:t>
      </w:r>
    </w:p>
    <w:p w14:paraId="72E5A89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15.1.20若乙方单方解除合同，由乙方承担由此为甲方带来</w:t>
      </w:r>
      <w:r>
        <w:rPr>
          <w:rFonts w:hint="eastAsia" w:ascii="宋体" w:hAnsi="宋体" w:eastAsia="宋体" w:cs="宋体"/>
          <w:color w:val="000000" w:themeColor="text1"/>
          <w:sz w:val="24"/>
          <w:szCs w:val="24"/>
          <w14:textFill>
            <w14:solidFill>
              <w14:schemeClr w14:val="tx1"/>
            </w14:solidFill>
          </w14:textFill>
        </w:rPr>
        <w:t>的经济损失及相应责任。</w:t>
      </w:r>
    </w:p>
    <w:p w14:paraId="780D577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15.1.21因乙方原因造成超期供货，甲方有权重新评估乙方的履约能力，并以书面通知，进行约谈，乙方应限期整改。限期整改仍达不到合同另行约定时限的，甲方有权解除合同，乙方对此造成的后果负责。</w:t>
      </w:r>
    </w:p>
    <w:p w14:paraId="1D8E3862">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15.1.22因乙方包装不合规原因造成包装破损，导致商品发生影响用户体验的严重质量问题，甲方有权按照该订单总额的2%向乙方收取违约金，并根据甲方及用户单位需求在5个工作日内完成退换货。</w:t>
      </w:r>
    </w:p>
    <w:p w14:paraId="5F52E55D">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15.1.23乙方无法提供货物有关证件（合格证、煤安证、防爆证、3C认证等行业强制证件），甲方有权按照500元/笔订单向乙方收取违约金并根据甲方及用户单位需求完成退货。</w:t>
      </w:r>
    </w:p>
    <w:p w14:paraId="30AA5119">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15.1.24乙方在订单交付过程中，出现私自向用户单位收取费用，发货包装内外使用或夹带宣传资料，服务态度差，辱骂客户的行为，甲方或用户单位有权按照该订单总额的20%向乙方收取违约金，最高不超过2000元，一年内禁止重新准入。若出现殴打客户，网络（含微博）/声/视/平媒体负面报道、政府部门介入等影响甲方声誉和形象的行为，甲方或用户单位有权向乙方收取10000元违约金，给甲方或其用户单位道歉，赔付医药费（如涉及），乙方应负责赔偿甲方及用户单位的全部损失，一年内禁止重新准入。</w:t>
      </w:r>
    </w:p>
    <w:p w14:paraId="6525256C">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15.1.25甲方有权对价格异常商品立即停售，乙方应配合甲方提供生产厂家指导价或该产品的费用构成明细，双方认定该商品价格异常后，乙方应配合甲方在2个工作日内对该商品降价或下架，若该商品存在订单，甲方有权按照订单差价的金额向乙方收取违约金。若乙方发生价格异常情况未落实整改，甲方有权对乙方收取3000元违约金，一年内禁止重新准入。</w:t>
      </w:r>
    </w:p>
    <w:p w14:paraId="79975955">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15.1.26乙方提供上架的商品不得出现限制采购数量、采购时间、采购区域、限时促销、库存不足等限制性条件。并且乙方有义务配合甲方铺货工作，按铺货规范要求提供相关资料，若发生违约情况时，甲方有权对该商品下架。若为甲方或用户单位带来的损失，每发生1次</w:t>
      </w:r>
      <w:r>
        <w:rPr>
          <w:rFonts w:hint="eastAsia" w:ascii="宋体" w:hAnsi="宋体" w:eastAsia="宋体" w:cs="宋体"/>
          <w:color w:val="000000" w:themeColor="text1"/>
          <w:sz w:val="24"/>
          <w:szCs w:val="24"/>
          <w:highlight w:val="none"/>
          <w14:textFill>
            <w14:solidFill>
              <w14:schemeClr w14:val="tx1"/>
            </w14:solidFill>
          </w14:textFill>
        </w:rPr>
        <w:t>扣除履约保证金或履约保函中1万元作为违约金。</w:t>
      </w:r>
    </w:p>
    <w:p w14:paraId="70F0E6C8">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15.1.27甲方对存在质量问题的商品建立</w:t>
      </w:r>
      <w:r>
        <w:rPr>
          <w:rFonts w:hint="eastAsia" w:ascii="宋体" w:hAnsi="宋体" w:eastAsia="宋体" w:cs="宋体"/>
          <w:color w:val="000000" w:themeColor="text1"/>
          <w:sz w:val="24"/>
          <w:szCs w:val="24"/>
          <w:highlight w:val="none"/>
          <w:lang w:eastAsia="zh-CN"/>
          <w14:textFill>
            <w14:solidFill>
              <w14:schemeClr w14:val="tx1"/>
            </w14:solidFill>
          </w14:textFill>
        </w:rPr>
        <w:t>处理</w:t>
      </w:r>
      <w:r>
        <w:rPr>
          <w:rFonts w:hint="eastAsia" w:ascii="宋体" w:hAnsi="宋体" w:eastAsia="宋体" w:cs="宋体"/>
          <w:color w:val="000000" w:themeColor="text1"/>
          <w:sz w:val="24"/>
          <w:szCs w:val="24"/>
          <w:highlight w:val="none"/>
          <w14:textFill>
            <w14:solidFill>
              <w14:schemeClr w14:val="tx1"/>
            </w14:solidFill>
          </w14:textFill>
        </w:rPr>
        <w:t>、下架和停售机制，</w:t>
      </w:r>
      <w:r>
        <w:rPr>
          <w:rFonts w:hint="eastAsia" w:ascii="宋体" w:hAnsi="宋体" w:eastAsia="宋体" w:cs="宋体"/>
          <w:color w:val="000000" w:themeColor="text1"/>
          <w:sz w:val="24"/>
          <w:szCs w:val="24"/>
          <w14:textFill>
            <w14:solidFill>
              <w14:schemeClr w14:val="tx1"/>
            </w14:solidFill>
          </w14:textFill>
        </w:rPr>
        <w:t>抽验发现的不合格商品，该品类商品全部下架处理。</w:t>
      </w:r>
    </w:p>
    <w:p w14:paraId="2C59095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15.1.28经核查用户投诉质量问题属实，通过退换无法解决的应下架该商品。有效投诉未落实整改达到要求的，应下架该合同下所有商品，一年内禁止重新准入。</w:t>
      </w:r>
    </w:p>
    <w:p w14:paraId="1B574F53">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15.1.29乙方需遵守甲方相关的供应商管理及考核要求，对考核结果及处理意见进行有效整改或执行。若甲方对乙方约谈后，乙方存在拒不整改或整改不力等情况，甲方有权向乙方收取10000元违约金并一年内禁止重新准入。</w:t>
      </w:r>
    </w:p>
    <w:p w14:paraId="6B6DCB20">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15.1.30如果在本合同规定的乙方义务履行期限届满前，乙方明确表示或者以自己的行为表明不履行本合同项下义务的，甲方有权解除本合同</w:t>
      </w:r>
      <w:r>
        <w:rPr>
          <w:rFonts w:hint="eastAsia" w:ascii="宋体" w:hAnsi="宋体" w:eastAsia="宋体" w:cs="宋体"/>
          <w:color w:val="000000" w:themeColor="text1"/>
          <w:sz w:val="24"/>
          <w:szCs w:val="24"/>
          <w:highlight w:val="none"/>
          <w:lang w:eastAsia="zh-CN"/>
          <w14:textFill>
            <w14:solidFill>
              <w14:schemeClr w14:val="tx1"/>
            </w14:solidFill>
          </w14:textFill>
        </w:rPr>
        <w:t>，且乙方缴纳的履约保证金不予返还</w:t>
      </w:r>
      <w:r>
        <w:rPr>
          <w:rFonts w:hint="eastAsia" w:ascii="宋体" w:hAnsi="宋体" w:eastAsia="宋体" w:cs="宋体"/>
          <w:color w:val="000000" w:themeColor="text1"/>
          <w:sz w:val="24"/>
          <w:szCs w:val="24"/>
          <w:highlight w:val="none"/>
          <w14:textFill>
            <w14:solidFill>
              <w14:schemeClr w14:val="tx1"/>
            </w14:solidFill>
          </w14:textFill>
        </w:rPr>
        <w:t>，履约保证金不足以弥补甲方的全部损失的</w:t>
      </w:r>
      <w:r>
        <w:rPr>
          <w:rFonts w:hint="eastAsia" w:ascii="宋体" w:hAnsi="宋体" w:eastAsia="宋体" w:cs="宋体"/>
          <w:color w:val="000000" w:themeColor="text1"/>
          <w:sz w:val="24"/>
          <w:szCs w:val="24"/>
          <w14:textFill>
            <w14:solidFill>
              <w14:schemeClr w14:val="tx1"/>
            </w14:solidFill>
          </w14:textFill>
        </w:rPr>
        <w:t>，乙方还应予以赔偿。</w:t>
      </w:r>
    </w:p>
    <w:p w14:paraId="5BFFE4AF">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15.1.31甲方及用户单位在合同执行过程中对乙方提供产品来源进行核查，乙方应对甲方及用户单位的核查工作给予配合。若核查结果证明乙方提供的生产厂家或其授权代理商出具的授权书伪造或其他无效授权情形的，除由乙方承担由此为甲方及用户单位带来的经济损失及相应责任外，并每发生1次扣除履约保证金或履约保函中1万元作为违约金。甲方视后果严重程度及处理情况有权下架商品、下架</w:t>
      </w:r>
      <w:r>
        <w:rPr>
          <w:rFonts w:hint="eastAsia" w:ascii="宋体" w:hAnsi="宋体" w:eastAsia="宋体" w:cs="宋体"/>
          <w:color w:val="000000" w:themeColor="text1"/>
          <w:spacing w:val="-20"/>
          <w:sz w:val="24"/>
          <w:szCs w:val="24"/>
          <w14:textFill>
            <w14:solidFill>
              <w14:schemeClr w14:val="tx1"/>
            </w14:solidFill>
          </w14:textFill>
        </w:rPr>
        <w:t>所属品牌、下架所属品类、平台停售整改、终止合作并解除本合同等措施。</w:t>
      </w:r>
    </w:p>
    <w:p w14:paraId="6560C08F">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15.1.32乙方在合同执行过程中应主动配合甲方及用户单位进行售前选品咨询服务、订单交付、参与报价、质量管理、价格管理、供应商管理、售后处理、问题整改等运营工作，对未配合或拒不配合等情况，每发生1次收取1000元违约金，且不限于、下架商品、下架所属品牌、下架所属品类、平台停售整改、终止合作并解除本合同等措施。</w:t>
      </w:r>
    </w:p>
    <w:p w14:paraId="304A1B4A">
      <w:pPr>
        <w:widowControl w:val="0"/>
        <w:adjustRightInd w:val="0"/>
        <w:snapToGrid w:val="0"/>
        <w:spacing w:line="5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15.1.33若乙方提供给甲方或用户单位的商品违反中国有关法律、法规、规章及强制性标准（无论全国性或地方性或行业性）规定的质量、技术及安全要求，除本合同约定的其它救济措施外，</w:t>
      </w:r>
      <w:r>
        <w:rPr>
          <w:rFonts w:hint="eastAsia" w:ascii="宋体" w:hAnsi="宋体" w:eastAsia="宋体" w:cs="宋体"/>
          <w:color w:val="auto"/>
          <w:sz w:val="24"/>
          <w:szCs w:val="24"/>
          <w:highlight w:val="none"/>
        </w:rPr>
        <w:t>甲方及用户单位有权针对该问题商品</w:t>
      </w:r>
      <w:r>
        <w:rPr>
          <w:rFonts w:hint="eastAsia" w:ascii="宋体" w:hAnsi="宋体" w:eastAsia="宋体" w:cs="宋体"/>
          <w:color w:val="auto"/>
          <w:sz w:val="24"/>
          <w:szCs w:val="24"/>
          <w:highlight w:val="none"/>
          <w:lang w:eastAsia="zh-CN"/>
        </w:rPr>
        <w:t>导致的损失对乙方进行追偿</w:t>
      </w:r>
      <w:r>
        <w:rPr>
          <w:rFonts w:hint="eastAsia" w:ascii="宋体" w:hAnsi="宋体" w:eastAsia="宋体" w:cs="宋体"/>
          <w:color w:val="auto"/>
          <w:sz w:val="24"/>
          <w:szCs w:val="24"/>
          <w:highlight w:val="none"/>
        </w:rPr>
        <w:t>。</w:t>
      </w:r>
    </w:p>
    <w:p w14:paraId="4A4DBCB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15.1.34若乙方原因发生赊销额度不足、系统对接异常等情况，对甲方及用户单位造成严重影响及风险等，甲方有权对乙方平台停售整改，终止合作并解除本合同。若因甲方原因导致乙方赊销额度不足、系统对接异常等情况，甲方需在10个工作日内协助乙方恢复赊销额度和系统问题。</w:t>
      </w:r>
    </w:p>
    <w:p w14:paraId="0820592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color w:val="000000" w:themeColor="text1"/>
          <w:spacing w:val="-2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15.1.35对于甲方及用户单位因使用乙方在本合同中的商品或服务所遭受的人身伤害、精神损害、财产损失等损害或损失，乙方应在2个工作日内，抵达用户单位现场妥善处理纠纷，并承担与以上损害</w:t>
      </w:r>
      <w:r>
        <w:rPr>
          <w:rFonts w:hint="eastAsia" w:ascii="宋体" w:hAnsi="宋体" w:eastAsia="宋体" w:cs="宋体"/>
          <w:color w:val="000000" w:themeColor="text1"/>
          <w:spacing w:val="-20"/>
          <w:sz w:val="24"/>
          <w:szCs w:val="24"/>
          <w14:textFill>
            <w14:solidFill>
              <w14:schemeClr w14:val="tx1"/>
            </w14:solidFill>
          </w14:textFill>
        </w:rPr>
        <w:t>或损失相应的全部责任，</w:t>
      </w:r>
      <w:r>
        <w:rPr>
          <w:rFonts w:hint="eastAsia" w:ascii="宋体" w:hAnsi="宋体" w:eastAsia="宋体" w:cs="宋体"/>
          <w:color w:val="000000" w:themeColor="text1"/>
          <w:spacing w:val="-20"/>
          <w:sz w:val="24"/>
          <w:szCs w:val="24"/>
          <w:lang w:eastAsia="zh-CN"/>
          <w14:textFill>
            <w14:solidFill>
              <w14:schemeClr w14:val="tx1"/>
            </w14:solidFill>
          </w14:textFill>
        </w:rPr>
        <w:t>同时</w:t>
      </w:r>
      <w:r>
        <w:rPr>
          <w:rFonts w:hint="eastAsia" w:ascii="宋体" w:hAnsi="宋体" w:eastAsia="宋体" w:cs="宋体"/>
          <w:color w:val="000000" w:themeColor="text1"/>
          <w:spacing w:val="-20"/>
          <w:sz w:val="24"/>
          <w:szCs w:val="24"/>
          <w14:textFill>
            <w14:solidFill>
              <w14:schemeClr w14:val="tx1"/>
            </w14:solidFill>
          </w14:textFill>
        </w:rPr>
        <w:t>甲方有权终止合作并解除本合同。</w:t>
      </w:r>
    </w:p>
    <w:p w14:paraId="1CF542AE">
      <w:pPr>
        <w:pStyle w:val="8"/>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15.1.36 </w:t>
      </w:r>
      <w:r>
        <w:rPr>
          <w:rFonts w:hint="eastAsia" w:ascii="宋体" w:hAnsi="宋体" w:eastAsia="宋体" w:cs="宋体"/>
          <w:color w:val="000000" w:themeColor="text1"/>
          <w:sz w:val="24"/>
          <w:szCs w:val="24"/>
          <w14:textFill>
            <w14:solidFill>
              <w14:schemeClr w14:val="tx1"/>
            </w14:solidFill>
          </w14:textFill>
        </w:rPr>
        <w:t>乙方存在违约行为或给甲方造成损失的，甲方有权直接从履约保证金中抵扣违约金、赔偿金、诉讼费、律师费及其他合理损失；保证金不足以弥补甲方全部损失的，乙方应另行补足。乙方应在甲方通知后10日内足额补足履约保证金，逾期未补足的，甲方有权按合同总金额</w:t>
      </w:r>
      <w:r>
        <w:rPr>
          <w:rFonts w:hint="eastAsia" w:ascii="宋体" w:hAnsi="宋体" w:eastAsia="宋体" w:cs="宋体"/>
          <w:color w:val="000000" w:themeColor="text1"/>
          <w:sz w:val="24"/>
          <w:szCs w:val="24"/>
          <w:lang w:eastAsia="zh-CN"/>
          <w14:textFill>
            <w14:solidFill>
              <w14:schemeClr w14:val="tx1"/>
            </w14:solidFill>
          </w14:textFill>
        </w:rPr>
        <w:t>（含税）</w:t>
      </w:r>
      <w:r>
        <w:rPr>
          <w:rFonts w:hint="eastAsia" w:ascii="宋体" w:hAnsi="宋体" w:eastAsia="宋体" w:cs="宋体"/>
          <w:color w:val="000000" w:themeColor="text1"/>
          <w:sz w:val="24"/>
          <w:szCs w:val="24"/>
          <w14:textFill>
            <w14:solidFill>
              <w14:schemeClr w14:val="tx1"/>
            </w14:solidFill>
          </w14:textFill>
        </w:rPr>
        <w:t>的5%另行收取违约金。</w:t>
      </w:r>
    </w:p>
    <w:p w14:paraId="514FAF6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15.2索赔</w:t>
      </w:r>
    </w:p>
    <w:p w14:paraId="7BEEE1B1">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15.2.1若乙方在收到甲方索赔要求后14日内未能做出回复，该索赔要求将被视为乙方接受。若乙方未能在甲方发出索赔通知后14日内或甲方同意的延长期限内，按照甲方同意的上述规定的任何一种方法解决索赔事宜，甲方有权从任何一笔未付款项或甲方与乙方签订的任何合同条款中扣回索赔金额。</w:t>
      </w:r>
    </w:p>
    <w:p w14:paraId="0FAD400E">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15.2.2如因货物质量问题导致甲方损失或导致第三方向甲方主张权利的，应由乙方负责应对并承担所有费用。若甲方应对时，乙方应全力配合并承担甲方因此承担的所有费用（包括但不限于赔偿金、诉讼费、律师费及其他合理费用）。</w:t>
      </w:r>
    </w:p>
    <w:p w14:paraId="73CB908E">
      <w:pPr>
        <w:widowControl w:val="0"/>
        <w:adjustRightInd w:val="0"/>
        <w:snapToGrid w:val="0"/>
        <w:spacing w:line="500" w:lineRule="exact"/>
        <w:ind w:firstLine="482" w:firstLineChars="200"/>
        <w:jc w:val="both"/>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第十六条 争议解决</w:t>
      </w:r>
    </w:p>
    <w:p w14:paraId="4A28E627">
      <w:pPr>
        <w:widowControl w:val="0"/>
        <w:adjustRightInd w:val="0"/>
        <w:snapToGrid w:val="0"/>
        <w:spacing w:line="500" w:lineRule="exact"/>
        <w:ind w:firstLine="480"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执行本合同过程中发生的争议，应首先由相关方协商解决；协商不成的，任何一方均可向</w:t>
      </w:r>
      <w:r>
        <w:rPr>
          <w:rFonts w:hint="eastAsia" w:ascii="宋体" w:hAnsi="宋体" w:eastAsia="宋体" w:cs="宋体"/>
          <w:color w:val="000000" w:themeColor="text1"/>
          <w:sz w:val="24"/>
          <w:szCs w:val="24"/>
          <w:lang w:val="en-US" w:eastAsia="zh-CN"/>
          <w14:textFill>
            <w14:solidFill>
              <w14:schemeClr w14:val="tx1"/>
            </w14:solidFill>
          </w14:textFill>
        </w:rPr>
        <w:t>本</w:t>
      </w:r>
      <w:r>
        <w:rPr>
          <w:rFonts w:hint="eastAsia" w:ascii="宋体" w:hAnsi="宋体" w:eastAsia="宋体" w:cs="宋体"/>
          <w:color w:val="auto"/>
          <w:sz w:val="24"/>
          <w:szCs w:val="24"/>
          <w:u w:val="single"/>
        </w:rPr>
        <w:t>合同签订地</w:t>
      </w:r>
      <w:r>
        <w:rPr>
          <w:rFonts w:hint="eastAsia" w:ascii="宋体" w:hAnsi="宋体" w:eastAsia="宋体" w:cs="宋体"/>
          <w:color w:val="auto"/>
          <w:sz w:val="24"/>
          <w:szCs w:val="24"/>
        </w:rPr>
        <w:t>人</w:t>
      </w:r>
      <w:r>
        <w:rPr>
          <w:rFonts w:hint="eastAsia" w:ascii="宋体" w:hAnsi="宋体" w:eastAsia="宋体" w:cs="宋体"/>
          <w:color w:val="000000" w:themeColor="text1"/>
          <w:sz w:val="24"/>
          <w:szCs w:val="24"/>
          <w14:textFill>
            <w14:solidFill>
              <w14:schemeClr w14:val="tx1"/>
            </w14:solidFill>
          </w14:textFill>
        </w:rPr>
        <w:t>民法院起诉。</w:t>
      </w:r>
    </w:p>
    <w:p w14:paraId="57841A23">
      <w:pPr>
        <w:widowControl w:val="0"/>
        <w:adjustRightInd w:val="0"/>
        <w:snapToGrid w:val="0"/>
        <w:spacing w:line="500" w:lineRule="exact"/>
        <w:ind w:firstLine="482" w:firstLineChars="20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第十七条 附则</w:t>
      </w:r>
    </w:p>
    <w:p w14:paraId="054B3CB3">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17.1本合同未尽事宜或双方需变更本合同的，由甲乙双方另行协商并签订书面合同作为本合同的补充合同。</w:t>
      </w:r>
    </w:p>
    <w:p w14:paraId="10B25293">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17.2本合同附件为合同的组成部分，与本合同具有同等法律效力。</w:t>
      </w:r>
    </w:p>
    <w:p w14:paraId="296C5C19">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17.3履约保证金为合同总金额（含税）的5%，按千位数取整收取，不足一千元按一千元收取，本合同履约保证金为：__________元。</w:t>
      </w:r>
    </w:p>
    <w:p w14:paraId="308D8407">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乙方全面履行完毕合同全部义务、所有订单验收合格、质保期届满且无任何违约、索赔及未结事项的，甲方在质保期届满后30日内将履约保证金无息退还至乙方原缴款账户。</w:t>
      </w:r>
    </w:p>
    <w:p w14:paraId="6A91E8AF">
      <w:pPr>
        <w:adjustRightInd w:val="0"/>
        <w:snapToGrid w:val="0"/>
        <w:spacing w:line="50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因乙方违约导致合同解除、终止的，履约保证金不予退还，用于赔偿甲方损失；因甲方原因或不可抗力导致合同终止的，甲方在相关事项清算完毕后15日内无息退还剩余履约保证金。</w:t>
      </w:r>
    </w:p>
    <w:p w14:paraId="3C07628F">
      <w:pPr>
        <w:adjustRightInd w:val="0"/>
        <w:snapToGrid w:val="0"/>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17.4本合同自双方签字并盖章后生效，一式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份，甲方持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份，具有同等法律效力。</w:t>
      </w:r>
    </w:p>
    <w:p w14:paraId="7ACD99DB">
      <w:pPr>
        <w:pStyle w:val="8"/>
        <w:rPr>
          <w:rFonts w:hint="eastAsia" w:ascii="宋体" w:hAnsi="宋体" w:eastAsia="宋体" w:cs="宋体"/>
          <w:color w:val="auto"/>
          <w:sz w:val="24"/>
          <w:szCs w:val="24"/>
        </w:rPr>
      </w:pPr>
    </w:p>
    <w:p w14:paraId="349277AF">
      <w:pPr>
        <w:pStyle w:val="9"/>
        <w:rPr>
          <w:rFonts w:hint="eastAsia" w:ascii="宋体" w:hAnsi="宋体" w:eastAsia="宋体" w:cs="宋体"/>
          <w:sz w:val="24"/>
          <w:szCs w:val="24"/>
        </w:rPr>
      </w:pPr>
    </w:p>
    <w:p w14:paraId="6948CABA">
      <w:pPr>
        <w:pStyle w:val="8"/>
        <w:rPr>
          <w:rFonts w:hint="eastAsia" w:ascii="宋体" w:hAnsi="宋体" w:eastAsia="宋体" w:cs="宋体"/>
          <w:color w:val="000000" w:themeColor="text1"/>
          <w:sz w:val="24"/>
          <w:szCs w:val="24"/>
          <w14:textFill>
            <w14:solidFill>
              <w14:schemeClr w14:val="tx1"/>
            </w14:solidFill>
          </w14:textFill>
        </w:rPr>
      </w:pPr>
    </w:p>
    <w:p w14:paraId="443DA590">
      <w:pPr>
        <w:pStyle w:val="9"/>
        <w:rPr>
          <w:rFonts w:hint="eastAsia" w:ascii="宋体" w:hAnsi="宋体" w:eastAsia="宋体" w:cs="宋体"/>
          <w:color w:val="000000" w:themeColor="text1"/>
          <w:sz w:val="24"/>
          <w:szCs w:val="24"/>
          <w14:textFill>
            <w14:solidFill>
              <w14:schemeClr w14:val="tx1"/>
            </w14:solidFill>
          </w14:textFill>
        </w:rPr>
      </w:pPr>
    </w:p>
    <w:p w14:paraId="6254899F">
      <w:pPr>
        <w:pStyle w:val="9"/>
        <w:rPr>
          <w:rFonts w:hint="eastAsia" w:ascii="宋体" w:hAnsi="宋体" w:eastAsia="宋体" w:cs="宋体"/>
          <w:color w:val="000000" w:themeColor="text1"/>
          <w:sz w:val="24"/>
          <w:szCs w:val="24"/>
          <w14:textFill>
            <w14:solidFill>
              <w14:schemeClr w14:val="tx1"/>
            </w14:solidFill>
          </w14:textFill>
        </w:rPr>
      </w:pPr>
    </w:p>
    <w:p w14:paraId="462102E4">
      <w:pPr>
        <w:pStyle w:val="9"/>
        <w:rPr>
          <w:rFonts w:hint="eastAsia" w:ascii="宋体" w:hAnsi="宋体" w:eastAsia="宋体" w:cs="宋体"/>
          <w:color w:val="000000" w:themeColor="text1"/>
          <w:sz w:val="24"/>
          <w:szCs w:val="24"/>
          <w14:textFill>
            <w14:solidFill>
              <w14:schemeClr w14:val="tx1"/>
            </w14:solidFill>
          </w14:textFill>
        </w:rPr>
      </w:pPr>
    </w:p>
    <w:p w14:paraId="420320B1">
      <w:pPr>
        <w:pStyle w:val="9"/>
        <w:rPr>
          <w:rFonts w:hint="eastAsia" w:ascii="宋体" w:hAnsi="宋体" w:eastAsia="宋体" w:cs="宋体"/>
          <w:color w:val="000000" w:themeColor="text1"/>
          <w:sz w:val="24"/>
          <w:szCs w:val="24"/>
          <w14:textFill>
            <w14:solidFill>
              <w14:schemeClr w14:val="tx1"/>
            </w14:solidFill>
          </w14:textFill>
        </w:rPr>
      </w:pPr>
    </w:p>
    <w:p w14:paraId="22BDFCA8">
      <w:pPr>
        <w:pStyle w:val="9"/>
        <w:rPr>
          <w:rFonts w:hint="eastAsia" w:ascii="宋体" w:hAnsi="宋体" w:eastAsia="宋体" w:cs="宋体"/>
          <w:color w:val="000000" w:themeColor="text1"/>
          <w:sz w:val="24"/>
          <w:szCs w:val="24"/>
          <w14:textFill>
            <w14:solidFill>
              <w14:schemeClr w14:val="tx1"/>
            </w14:solidFill>
          </w14:textFill>
        </w:rPr>
      </w:pPr>
    </w:p>
    <w:p w14:paraId="17AF80AB">
      <w:pPr>
        <w:pStyle w:val="9"/>
        <w:rPr>
          <w:rFonts w:hint="eastAsia" w:ascii="宋体" w:hAnsi="宋体" w:eastAsia="宋体" w:cs="宋体"/>
          <w:color w:val="000000" w:themeColor="text1"/>
          <w:sz w:val="24"/>
          <w:szCs w:val="24"/>
          <w14:textFill>
            <w14:solidFill>
              <w14:schemeClr w14:val="tx1"/>
            </w14:solidFill>
          </w14:textFill>
        </w:rPr>
      </w:pPr>
    </w:p>
    <w:p w14:paraId="54A34C25">
      <w:pPr>
        <w:pStyle w:val="9"/>
        <w:rPr>
          <w:rFonts w:hint="eastAsia" w:ascii="宋体" w:hAnsi="宋体" w:eastAsia="宋体" w:cs="宋体"/>
          <w:color w:val="000000" w:themeColor="text1"/>
          <w:sz w:val="24"/>
          <w:szCs w:val="24"/>
          <w14:textFill>
            <w14:solidFill>
              <w14:schemeClr w14:val="tx1"/>
            </w14:solidFill>
          </w14:textFill>
        </w:rPr>
      </w:pPr>
    </w:p>
    <w:p w14:paraId="68E6380B">
      <w:pPr>
        <w:pStyle w:val="9"/>
        <w:rPr>
          <w:rFonts w:hint="eastAsia" w:ascii="宋体" w:hAnsi="宋体" w:eastAsia="宋体" w:cs="宋体"/>
          <w:color w:val="000000" w:themeColor="text1"/>
          <w:sz w:val="24"/>
          <w:szCs w:val="24"/>
          <w14:textFill>
            <w14:solidFill>
              <w14:schemeClr w14:val="tx1"/>
            </w14:solidFill>
          </w14:textFill>
        </w:rPr>
      </w:pPr>
    </w:p>
    <w:p w14:paraId="48EAB197">
      <w:pPr>
        <w:pStyle w:val="9"/>
        <w:rPr>
          <w:rFonts w:hint="eastAsia" w:ascii="宋体" w:hAnsi="宋体" w:eastAsia="宋体" w:cs="宋体"/>
          <w:color w:val="000000" w:themeColor="text1"/>
          <w:sz w:val="24"/>
          <w:szCs w:val="24"/>
          <w14:textFill>
            <w14:solidFill>
              <w14:schemeClr w14:val="tx1"/>
            </w14:solidFill>
          </w14:textFill>
        </w:rPr>
      </w:pPr>
    </w:p>
    <w:p w14:paraId="550C5E9F">
      <w:pPr>
        <w:pStyle w:val="9"/>
        <w:rPr>
          <w:rFonts w:hint="eastAsia" w:ascii="宋体" w:hAnsi="宋体" w:eastAsia="宋体" w:cs="宋体"/>
          <w:color w:val="000000" w:themeColor="text1"/>
          <w:sz w:val="24"/>
          <w:szCs w:val="24"/>
          <w14:textFill>
            <w14:solidFill>
              <w14:schemeClr w14:val="tx1"/>
            </w14:solidFill>
          </w14:textFill>
        </w:rPr>
      </w:pPr>
    </w:p>
    <w:p w14:paraId="0EACECFE">
      <w:pPr>
        <w:pStyle w:val="9"/>
        <w:rPr>
          <w:rFonts w:hint="eastAsia" w:ascii="宋体" w:hAnsi="宋体" w:eastAsia="宋体" w:cs="宋体"/>
          <w:color w:val="000000" w:themeColor="text1"/>
          <w:sz w:val="24"/>
          <w:szCs w:val="24"/>
          <w14:textFill>
            <w14:solidFill>
              <w14:schemeClr w14:val="tx1"/>
            </w14:solidFill>
          </w14:textFill>
        </w:rPr>
      </w:pPr>
    </w:p>
    <w:p w14:paraId="5EAF0025">
      <w:pPr>
        <w:pStyle w:val="9"/>
        <w:rPr>
          <w:rFonts w:hint="eastAsia" w:ascii="宋体" w:hAnsi="宋体" w:eastAsia="宋体" w:cs="宋体"/>
          <w:color w:val="000000" w:themeColor="text1"/>
          <w:sz w:val="24"/>
          <w:szCs w:val="24"/>
          <w14:textFill>
            <w14:solidFill>
              <w14:schemeClr w14:val="tx1"/>
            </w14:solidFill>
          </w14:textFill>
        </w:rPr>
      </w:pPr>
    </w:p>
    <w:p w14:paraId="767D6407">
      <w:pPr>
        <w:pStyle w:val="9"/>
        <w:rPr>
          <w:rFonts w:hint="eastAsia" w:ascii="宋体" w:hAnsi="宋体" w:eastAsia="宋体" w:cs="宋体"/>
          <w:color w:val="000000" w:themeColor="text1"/>
          <w:sz w:val="24"/>
          <w:szCs w:val="24"/>
          <w14:textFill>
            <w14:solidFill>
              <w14:schemeClr w14:val="tx1"/>
            </w14:solidFill>
          </w14:textFill>
        </w:rPr>
      </w:pPr>
    </w:p>
    <w:p w14:paraId="1065A64A">
      <w:pPr>
        <w:pStyle w:val="9"/>
        <w:rPr>
          <w:rFonts w:hint="eastAsia" w:ascii="宋体" w:hAnsi="宋体" w:eastAsia="宋体" w:cs="宋体"/>
          <w:color w:val="000000" w:themeColor="text1"/>
          <w:sz w:val="24"/>
          <w:szCs w:val="24"/>
          <w14:textFill>
            <w14:solidFill>
              <w14:schemeClr w14:val="tx1"/>
            </w14:solidFill>
          </w14:textFill>
        </w:rPr>
      </w:pPr>
    </w:p>
    <w:p w14:paraId="771E4815">
      <w:pPr>
        <w:pStyle w:val="9"/>
        <w:rPr>
          <w:rFonts w:hint="eastAsia" w:ascii="宋体" w:hAnsi="宋体" w:eastAsia="宋体" w:cs="宋体"/>
          <w:color w:val="000000" w:themeColor="text1"/>
          <w:sz w:val="24"/>
          <w:szCs w:val="24"/>
          <w14:textFill>
            <w14:solidFill>
              <w14:schemeClr w14:val="tx1"/>
            </w14:solidFill>
          </w14:textFill>
        </w:rPr>
      </w:pPr>
    </w:p>
    <w:p w14:paraId="7248BA24">
      <w:pPr>
        <w:pStyle w:val="9"/>
        <w:rPr>
          <w:rFonts w:hint="eastAsia" w:ascii="宋体" w:hAnsi="宋体" w:eastAsia="宋体" w:cs="宋体"/>
          <w:color w:val="000000" w:themeColor="text1"/>
          <w:sz w:val="24"/>
          <w:szCs w:val="24"/>
          <w14:textFill>
            <w14:solidFill>
              <w14:schemeClr w14:val="tx1"/>
            </w14:solidFill>
          </w14:textFill>
        </w:rPr>
      </w:pPr>
    </w:p>
    <w:p w14:paraId="60F65532">
      <w:pPr>
        <w:pStyle w:val="9"/>
        <w:rPr>
          <w:rFonts w:hint="eastAsia" w:ascii="宋体" w:hAnsi="宋体" w:eastAsia="宋体" w:cs="宋体"/>
          <w:color w:val="000000" w:themeColor="text1"/>
          <w:sz w:val="24"/>
          <w:szCs w:val="24"/>
          <w14:textFill>
            <w14:solidFill>
              <w14:schemeClr w14:val="tx1"/>
            </w14:solidFill>
          </w14:textFill>
        </w:rPr>
      </w:pPr>
    </w:p>
    <w:p w14:paraId="02CDE84D">
      <w:pPr>
        <w:pStyle w:val="9"/>
        <w:rPr>
          <w:rFonts w:hint="eastAsia" w:ascii="宋体" w:hAnsi="宋体" w:eastAsia="宋体" w:cs="宋体"/>
          <w:color w:val="000000" w:themeColor="text1"/>
          <w:sz w:val="24"/>
          <w:szCs w:val="24"/>
          <w14:textFill>
            <w14:solidFill>
              <w14:schemeClr w14:val="tx1"/>
            </w14:solidFill>
          </w14:textFill>
        </w:rPr>
      </w:pPr>
    </w:p>
    <w:p w14:paraId="5B2AE2C0">
      <w:pPr>
        <w:pStyle w:val="9"/>
        <w:rPr>
          <w:rFonts w:hint="eastAsia" w:ascii="宋体" w:hAnsi="宋体" w:eastAsia="宋体" w:cs="宋体"/>
          <w:color w:val="000000" w:themeColor="text1"/>
          <w:sz w:val="24"/>
          <w:szCs w:val="24"/>
          <w14:textFill>
            <w14:solidFill>
              <w14:schemeClr w14:val="tx1"/>
            </w14:solidFill>
          </w14:textFill>
        </w:rPr>
      </w:pPr>
    </w:p>
    <w:p w14:paraId="0185E742">
      <w:pPr>
        <w:pStyle w:val="9"/>
        <w:rPr>
          <w:rFonts w:hint="eastAsia" w:ascii="宋体" w:hAnsi="宋体" w:eastAsia="宋体" w:cs="宋体"/>
          <w:color w:val="000000" w:themeColor="text1"/>
          <w:sz w:val="24"/>
          <w:szCs w:val="24"/>
          <w14:textFill>
            <w14:solidFill>
              <w14:schemeClr w14:val="tx1"/>
            </w14:solidFill>
          </w14:textFill>
        </w:rPr>
      </w:pPr>
    </w:p>
    <w:p w14:paraId="1632BDCD">
      <w:pPr>
        <w:pStyle w:val="9"/>
        <w:rPr>
          <w:rFonts w:hint="eastAsia" w:ascii="宋体" w:hAnsi="宋体" w:eastAsia="宋体" w:cs="宋体"/>
          <w:color w:val="000000" w:themeColor="text1"/>
          <w:sz w:val="24"/>
          <w:szCs w:val="24"/>
          <w14:textFill>
            <w14:solidFill>
              <w14:schemeClr w14:val="tx1"/>
            </w14:solidFill>
          </w14:textFill>
        </w:rPr>
      </w:pPr>
    </w:p>
    <w:p w14:paraId="6A2971A2">
      <w:pPr>
        <w:pStyle w:val="9"/>
        <w:rPr>
          <w:rFonts w:hint="eastAsia" w:ascii="宋体" w:hAnsi="宋体" w:eastAsia="宋体" w:cs="宋体"/>
          <w:color w:val="000000" w:themeColor="text1"/>
          <w:sz w:val="24"/>
          <w:szCs w:val="24"/>
          <w14:textFill>
            <w14:solidFill>
              <w14:schemeClr w14:val="tx1"/>
            </w14:solidFill>
          </w14:textFill>
        </w:rPr>
      </w:pPr>
    </w:p>
    <w:p w14:paraId="7C3F55F4">
      <w:pPr>
        <w:pStyle w:val="9"/>
        <w:rPr>
          <w:rFonts w:hint="eastAsia" w:ascii="宋体" w:hAnsi="宋体" w:eastAsia="宋体" w:cs="宋体"/>
          <w:color w:val="000000" w:themeColor="text1"/>
          <w:sz w:val="24"/>
          <w:szCs w:val="24"/>
          <w14:textFill>
            <w14:solidFill>
              <w14:schemeClr w14:val="tx1"/>
            </w14:solidFill>
          </w14:textFill>
        </w:rPr>
      </w:pPr>
    </w:p>
    <w:p w14:paraId="56C137F4">
      <w:pPr>
        <w:pStyle w:val="9"/>
        <w:rPr>
          <w:rFonts w:hint="eastAsia" w:ascii="宋体" w:hAnsi="宋体" w:eastAsia="宋体" w:cs="宋体"/>
          <w:color w:val="000000" w:themeColor="text1"/>
          <w:sz w:val="24"/>
          <w:szCs w:val="24"/>
          <w14:textFill>
            <w14:solidFill>
              <w14:schemeClr w14:val="tx1"/>
            </w14:solidFill>
          </w14:textFill>
        </w:rPr>
      </w:pPr>
    </w:p>
    <w:p w14:paraId="72E68382">
      <w:pPr>
        <w:pStyle w:val="9"/>
        <w:rPr>
          <w:rFonts w:hint="eastAsia" w:ascii="宋体" w:hAnsi="宋体" w:eastAsia="宋体" w:cs="宋体"/>
          <w:color w:val="000000" w:themeColor="text1"/>
          <w:sz w:val="24"/>
          <w:szCs w:val="24"/>
          <w14:textFill>
            <w14:solidFill>
              <w14:schemeClr w14:val="tx1"/>
            </w14:solidFill>
          </w14:textFill>
        </w:rPr>
      </w:pPr>
    </w:p>
    <w:p w14:paraId="44DCA861">
      <w:pPr>
        <w:pStyle w:val="9"/>
        <w:rPr>
          <w:rFonts w:hint="eastAsia" w:ascii="宋体" w:hAnsi="宋体" w:eastAsia="宋体" w:cs="宋体"/>
          <w:color w:val="000000" w:themeColor="text1"/>
          <w:sz w:val="24"/>
          <w:szCs w:val="24"/>
          <w14:textFill>
            <w14:solidFill>
              <w14:schemeClr w14:val="tx1"/>
            </w14:solidFill>
          </w14:textFill>
        </w:rPr>
      </w:pPr>
    </w:p>
    <w:p w14:paraId="3D829EAA">
      <w:pPr>
        <w:pStyle w:val="9"/>
        <w:rPr>
          <w:rFonts w:hint="eastAsia" w:ascii="宋体" w:hAnsi="宋体" w:eastAsia="宋体" w:cs="宋体"/>
          <w:color w:val="000000" w:themeColor="text1"/>
          <w:sz w:val="24"/>
          <w:szCs w:val="24"/>
          <w14:textFill>
            <w14:solidFill>
              <w14:schemeClr w14:val="tx1"/>
            </w14:solidFill>
          </w14:textFill>
        </w:rPr>
      </w:pPr>
    </w:p>
    <w:p w14:paraId="1D132022">
      <w:pPr>
        <w:pStyle w:val="9"/>
        <w:rPr>
          <w:rFonts w:hint="eastAsia" w:ascii="宋体" w:hAnsi="宋体" w:eastAsia="宋体" w:cs="宋体"/>
          <w:color w:val="000000" w:themeColor="text1"/>
          <w:sz w:val="24"/>
          <w:szCs w:val="24"/>
          <w14:textFill>
            <w14:solidFill>
              <w14:schemeClr w14:val="tx1"/>
            </w14:solidFill>
          </w14:textFill>
        </w:rPr>
      </w:pPr>
    </w:p>
    <w:p w14:paraId="01ADD283">
      <w:pPr>
        <w:pStyle w:val="9"/>
        <w:rPr>
          <w:rFonts w:hint="eastAsia" w:ascii="宋体" w:hAnsi="宋体" w:eastAsia="宋体" w:cs="宋体"/>
          <w:color w:val="000000" w:themeColor="text1"/>
          <w:sz w:val="24"/>
          <w:szCs w:val="24"/>
          <w14:textFill>
            <w14:solidFill>
              <w14:schemeClr w14:val="tx1"/>
            </w14:solidFill>
          </w14:textFill>
        </w:rPr>
      </w:pPr>
    </w:p>
    <w:p w14:paraId="03C8E927">
      <w:pPr>
        <w:pStyle w:val="9"/>
        <w:rPr>
          <w:rFonts w:hint="eastAsia" w:ascii="宋体" w:hAnsi="宋体" w:eastAsia="宋体" w:cs="宋体"/>
          <w:color w:val="000000" w:themeColor="text1"/>
          <w:sz w:val="24"/>
          <w:szCs w:val="24"/>
          <w14:textFill>
            <w14:solidFill>
              <w14:schemeClr w14:val="tx1"/>
            </w14:solidFill>
          </w14:textFill>
        </w:rPr>
      </w:pPr>
    </w:p>
    <w:p w14:paraId="795A78F9">
      <w:pPr>
        <w:pStyle w:val="9"/>
        <w:rPr>
          <w:rFonts w:hint="eastAsia" w:ascii="宋体" w:hAnsi="宋体" w:eastAsia="宋体" w:cs="宋体"/>
          <w:color w:val="000000" w:themeColor="text1"/>
          <w:sz w:val="24"/>
          <w:szCs w:val="24"/>
          <w14:textFill>
            <w14:solidFill>
              <w14:schemeClr w14:val="tx1"/>
            </w14:solidFill>
          </w14:textFill>
        </w:rPr>
      </w:pPr>
    </w:p>
    <w:p w14:paraId="5F3D2AA2">
      <w:pPr>
        <w:pStyle w:val="9"/>
        <w:rPr>
          <w:rFonts w:hint="eastAsia" w:ascii="宋体" w:hAnsi="宋体" w:eastAsia="宋体" w:cs="宋体"/>
          <w:color w:val="000000" w:themeColor="text1"/>
          <w:sz w:val="24"/>
          <w:szCs w:val="24"/>
          <w14:textFill>
            <w14:solidFill>
              <w14:schemeClr w14:val="tx1"/>
            </w14:solidFill>
          </w14:textFill>
        </w:rPr>
      </w:pPr>
    </w:p>
    <w:p w14:paraId="2AE36201">
      <w:pPr>
        <w:pStyle w:val="9"/>
        <w:rPr>
          <w:rFonts w:hint="eastAsia" w:ascii="宋体" w:hAnsi="宋体" w:eastAsia="宋体" w:cs="宋体"/>
          <w:color w:val="000000" w:themeColor="text1"/>
          <w:sz w:val="24"/>
          <w:szCs w:val="24"/>
          <w14:textFill>
            <w14:solidFill>
              <w14:schemeClr w14:val="tx1"/>
            </w14:solidFill>
          </w14:textFill>
        </w:rPr>
      </w:pPr>
    </w:p>
    <w:p w14:paraId="1AF0E548">
      <w:pPr>
        <w:pStyle w:val="9"/>
        <w:rPr>
          <w:rFonts w:hint="eastAsia" w:ascii="宋体" w:hAnsi="宋体" w:eastAsia="宋体" w:cs="宋体"/>
          <w:color w:val="000000" w:themeColor="text1"/>
          <w:sz w:val="24"/>
          <w:szCs w:val="24"/>
          <w14:textFill>
            <w14:solidFill>
              <w14:schemeClr w14:val="tx1"/>
            </w14:solidFill>
          </w14:textFill>
        </w:rPr>
      </w:pPr>
    </w:p>
    <w:p w14:paraId="27DEE61B">
      <w:pPr>
        <w:pStyle w:val="9"/>
        <w:rPr>
          <w:rFonts w:hint="eastAsia" w:ascii="宋体" w:hAnsi="宋体" w:eastAsia="宋体" w:cs="宋体"/>
          <w:color w:val="000000" w:themeColor="text1"/>
          <w:sz w:val="24"/>
          <w:szCs w:val="24"/>
          <w14:textFill>
            <w14:solidFill>
              <w14:schemeClr w14:val="tx1"/>
            </w14:solidFill>
          </w14:textFill>
        </w:rPr>
      </w:pPr>
    </w:p>
    <w:p w14:paraId="5C094A3A">
      <w:pPr>
        <w:pStyle w:val="9"/>
        <w:rPr>
          <w:rFonts w:hint="eastAsia" w:ascii="宋体" w:hAnsi="宋体" w:eastAsia="宋体" w:cs="宋体"/>
          <w:color w:val="000000" w:themeColor="text1"/>
          <w:sz w:val="24"/>
          <w:szCs w:val="24"/>
          <w14:textFill>
            <w14:solidFill>
              <w14:schemeClr w14:val="tx1"/>
            </w14:solidFill>
          </w14:textFill>
        </w:rPr>
      </w:pPr>
    </w:p>
    <w:p w14:paraId="3B74B698">
      <w:pPr>
        <w:pStyle w:val="9"/>
        <w:rPr>
          <w:rFonts w:hint="eastAsia" w:ascii="宋体" w:hAnsi="宋体" w:eastAsia="宋体" w:cs="宋体"/>
          <w:color w:val="000000" w:themeColor="text1"/>
          <w:sz w:val="24"/>
          <w:szCs w:val="24"/>
          <w14:textFill>
            <w14:solidFill>
              <w14:schemeClr w14:val="tx1"/>
            </w14:solidFill>
          </w14:textFill>
        </w:rPr>
      </w:pPr>
    </w:p>
    <w:p w14:paraId="4EC71233">
      <w:pPr>
        <w:pStyle w:val="9"/>
        <w:ind w:left="0" w:leftChars="0" w:firstLine="0" w:firstLineChars="0"/>
        <w:rPr>
          <w:rFonts w:hint="eastAsia" w:ascii="宋体" w:hAnsi="宋体" w:eastAsia="宋体" w:cs="宋体"/>
          <w:color w:val="000000" w:themeColor="text1"/>
          <w:sz w:val="24"/>
          <w:szCs w:val="24"/>
          <w14:textFill>
            <w14:solidFill>
              <w14:schemeClr w14:val="tx1"/>
            </w14:solidFill>
          </w14:textFill>
        </w:rPr>
      </w:pPr>
    </w:p>
    <w:p w14:paraId="48A64104">
      <w:pPr>
        <w:pStyle w:val="9"/>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z w:val="24"/>
          <w:szCs w:val="24"/>
        </w:rPr>
        <w:t>（此页无正文）</w:t>
      </w:r>
    </w:p>
    <w:tbl>
      <w:tblPr>
        <w:tblStyle w:val="12"/>
        <w:tblW w:w="92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4"/>
        <w:gridCol w:w="4620"/>
      </w:tblGrid>
      <w:tr w14:paraId="0703F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614" w:type="dxa"/>
          </w:tcPr>
          <w:p w14:paraId="409352C9">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bookmarkStart w:id="4" w:name="_Hlk104286665"/>
            <w:r>
              <w:rPr>
                <w:rFonts w:hint="eastAsia" w:ascii="宋体" w:hAnsi="宋体" w:eastAsia="宋体" w:cs="宋体"/>
                <w:color w:val="000000" w:themeColor="text1"/>
                <w:sz w:val="24"/>
                <w:szCs w:val="24"/>
                <w14:textFill>
                  <w14:solidFill>
                    <w14:schemeClr w14:val="tx1"/>
                  </w14:solidFill>
                </w14:textFill>
              </w:rPr>
              <w:t>甲方（公章/合同专用章）：</w:t>
            </w:r>
          </w:p>
          <w:p w14:paraId="18CAD0F9">
            <w:pPr>
              <w:pStyle w:val="8"/>
              <w:rPr>
                <w:rFonts w:hint="eastAsia" w:ascii="宋体" w:hAnsi="宋体" w:eastAsia="宋体" w:cs="宋体"/>
                <w:sz w:val="24"/>
                <w:szCs w:val="24"/>
              </w:rPr>
            </w:pPr>
          </w:p>
          <w:p w14:paraId="40FDED0D">
            <w:pPr>
              <w:pStyle w:val="8"/>
              <w:rPr>
                <w:rFonts w:hint="eastAsia" w:ascii="宋体" w:hAnsi="宋体" w:eastAsia="宋体" w:cs="宋体"/>
                <w:sz w:val="24"/>
                <w:szCs w:val="24"/>
              </w:rPr>
            </w:pPr>
          </w:p>
          <w:p w14:paraId="555D4123">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bookmarkEnd w:id="4"/>
          <w:p w14:paraId="51BA12A6">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p>
          <w:p w14:paraId="0070DC67">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p w14:paraId="409F51ED">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法定代表人（签字/印章）：</w:t>
            </w:r>
          </w:p>
          <w:p w14:paraId="4C36964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委托代理人（签字）：</w:t>
            </w:r>
          </w:p>
          <w:p w14:paraId="77F533A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联系人：</w:t>
            </w:r>
          </w:p>
          <w:p w14:paraId="6F88F9A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话：</w:t>
            </w:r>
          </w:p>
          <w:p w14:paraId="3592FA80">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电子邮件：</w:t>
            </w:r>
          </w:p>
          <w:p w14:paraId="29CB3E7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p>
          <w:p w14:paraId="259C56D5">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p>
          <w:p w14:paraId="160BD9DF">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  号：</w:t>
            </w:r>
          </w:p>
          <w:p w14:paraId="0C3F08F3">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  号：</w:t>
            </w:r>
          </w:p>
          <w:p w14:paraId="1EDABE66">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签订日期：   年   月   日     </w:t>
            </w:r>
          </w:p>
        </w:tc>
        <w:tc>
          <w:tcPr>
            <w:tcW w:w="4620" w:type="dxa"/>
          </w:tcPr>
          <w:p w14:paraId="3320309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乙方（公章/合同专用章）：</w:t>
            </w:r>
          </w:p>
          <w:p w14:paraId="05E3EEE4">
            <w:pPr>
              <w:pStyle w:val="8"/>
              <w:rPr>
                <w:rFonts w:hint="eastAsia" w:ascii="宋体" w:hAnsi="宋体" w:eastAsia="宋体" w:cs="宋体"/>
                <w:sz w:val="24"/>
                <w:szCs w:val="24"/>
              </w:rPr>
            </w:pPr>
          </w:p>
          <w:p w14:paraId="479D9748">
            <w:pPr>
              <w:pStyle w:val="8"/>
              <w:rPr>
                <w:rFonts w:hint="eastAsia" w:ascii="宋体" w:hAnsi="宋体" w:eastAsia="宋体" w:cs="宋体"/>
                <w:sz w:val="24"/>
                <w:szCs w:val="24"/>
              </w:rPr>
            </w:pPr>
          </w:p>
          <w:p w14:paraId="683125E7">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p>
          <w:p w14:paraId="3FC33AEF">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单位地址：</w:t>
            </w:r>
          </w:p>
          <w:p w14:paraId="6CB35F96">
            <w:pPr>
              <w:widowControl w:val="0"/>
              <w:adjustRightInd w:val="0"/>
              <w:spacing w:line="360" w:lineRule="auto"/>
              <w:rPr>
                <w:rFonts w:hint="eastAsia" w:ascii="宋体" w:hAnsi="宋体" w:eastAsia="宋体" w:cs="宋体"/>
                <w:color w:val="000000" w:themeColor="text1"/>
                <w:sz w:val="24"/>
                <w:szCs w:val="24"/>
                <w:lang w:val="en-US"/>
                <w14:textFill>
                  <w14:solidFill>
                    <w14:schemeClr w14:val="tx1"/>
                  </w14:solidFill>
                </w14:textFill>
              </w:rPr>
            </w:pPr>
          </w:p>
          <w:p w14:paraId="6844AD6D">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法定代表人（签字/印章）：</w:t>
            </w:r>
          </w:p>
          <w:p w14:paraId="38FFA93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委托代理人（签字）：</w:t>
            </w:r>
          </w:p>
          <w:p w14:paraId="6CC3C001">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联系人：</w:t>
            </w:r>
          </w:p>
          <w:p w14:paraId="5F6CADD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  话：</w:t>
            </w:r>
          </w:p>
          <w:p w14:paraId="424E006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电子邮件：</w:t>
            </w:r>
          </w:p>
          <w:p w14:paraId="4864419B">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邮政编码：</w:t>
            </w:r>
          </w:p>
          <w:p w14:paraId="57812CB8">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p>
          <w:p w14:paraId="2CC2B07F">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  号：</w:t>
            </w:r>
          </w:p>
          <w:p w14:paraId="257C6524">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税  号：</w:t>
            </w:r>
          </w:p>
          <w:p w14:paraId="0F821EE7">
            <w:pPr>
              <w:widowControl w:val="0"/>
              <w:adjustRightInd w:val="0"/>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签订日期：   年   月   日   </w:t>
            </w:r>
          </w:p>
        </w:tc>
      </w:tr>
    </w:tbl>
    <w:p w14:paraId="37517BE4">
      <w:pPr>
        <w:pStyle w:val="8"/>
        <w:spacing w:line="20" w:lineRule="exact"/>
        <w:rPr>
          <w:color w:val="000000" w:themeColor="text1"/>
          <w14:textFill>
            <w14:solidFill>
              <w14:schemeClr w14:val="tx1"/>
            </w14:solidFill>
          </w14:textFill>
        </w:rPr>
      </w:pPr>
    </w:p>
    <w:sectPr>
      <w:footerReference r:id="rId5" w:type="default"/>
      <w:pgSz w:w="11906" w:h="16838"/>
      <w:pgMar w:top="1440" w:right="1800" w:bottom="1440" w:left="1800" w:header="708" w:footer="708" w:gutter="0"/>
      <w:pgNumType w:fmt="numberInDash"/>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国标宋体">
    <w:panose1 w:val="02000500000000000000"/>
    <w:charset w:val="86"/>
    <w:family w:val="auto"/>
    <w:pitch w:val="default"/>
    <w:sig w:usb0="00000001" w:usb1="28000000" w:usb2="00000000" w:usb3="00000000" w:csb0="00060007" w:csb1="00000000"/>
  </w:font>
  <w:font w:name="GWZT-EN">
    <w:panose1 w:val="020204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CB112">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0330B">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F10330B">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E21E0">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9A1D">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D819A1D">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DFECA">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0M2MxYTY2ZmZmZDMyMzMwNTdiNWJmMDE0ZDc0ZGQifQ=="/>
  </w:docVars>
  <w:rsids>
    <w:rsidRoot w:val="00172A27"/>
    <w:rsid w:val="00172A27"/>
    <w:rsid w:val="001867C3"/>
    <w:rsid w:val="002B6C47"/>
    <w:rsid w:val="00477DC3"/>
    <w:rsid w:val="004A2FB4"/>
    <w:rsid w:val="006A5D20"/>
    <w:rsid w:val="00826E76"/>
    <w:rsid w:val="00854C47"/>
    <w:rsid w:val="008C5EDE"/>
    <w:rsid w:val="00946960"/>
    <w:rsid w:val="009A68BB"/>
    <w:rsid w:val="009E632F"/>
    <w:rsid w:val="00F23A6C"/>
    <w:rsid w:val="01BC08ED"/>
    <w:rsid w:val="02610E76"/>
    <w:rsid w:val="037B196F"/>
    <w:rsid w:val="039C54AC"/>
    <w:rsid w:val="04A95D11"/>
    <w:rsid w:val="04CF62E6"/>
    <w:rsid w:val="052D0A47"/>
    <w:rsid w:val="074B4C36"/>
    <w:rsid w:val="0C44416A"/>
    <w:rsid w:val="0F985657"/>
    <w:rsid w:val="0FDF0B0A"/>
    <w:rsid w:val="133D6121"/>
    <w:rsid w:val="13FD562D"/>
    <w:rsid w:val="15634727"/>
    <w:rsid w:val="156D3606"/>
    <w:rsid w:val="19C14F9A"/>
    <w:rsid w:val="1C78E81E"/>
    <w:rsid w:val="1D5FD47E"/>
    <w:rsid w:val="1E6F4C44"/>
    <w:rsid w:val="1EA809DA"/>
    <w:rsid w:val="1ECBBF81"/>
    <w:rsid w:val="200E0479"/>
    <w:rsid w:val="22EA666B"/>
    <w:rsid w:val="26D37ABD"/>
    <w:rsid w:val="27F53CB8"/>
    <w:rsid w:val="28840408"/>
    <w:rsid w:val="28B210E0"/>
    <w:rsid w:val="290C4E0E"/>
    <w:rsid w:val="296E5A0C"/>
    <w:rsid w:val="2BD35796"/>
    <w:rsid w:val="2FDB47FD"/>
    <w:rsid w:val="2FF635B8"/>
    <w:rsid w:val="2FF7FD79"/>
    <w:rsid w:val="303D3985"/>
    <w:rsid w:val="323028E9"/>
    <w:rsid w:val="32AE46C6"/>
    <w:rsid w:val="33256949"/>
    <w:rsid w:val="33F16E97"/>
    <w:rsid w:val="33FFE204"/>
    <w:rsid w:val="36A17435"/>
    <w:rsid w:val="36E76070"/>
    <w:rsid w:val="37EE18C3"/>
    <w:rsid w:val="393DBE13"/>
    <w:rsid w:val="3ADF33A9"/>
    <w:rsid w:val="3BBFB62D"/>
    <w:rsid w:val="3BED2BD4"/>
    <w:rsid w:val="3D5DF973"/>
    <w:rsid w:val="3EAF1E6D"/>
    <w:rsid w:val="3F7F33DC"/>
    <w:rsid w:val="3FBB68F3"/>
    <w:rsid w:val="3FBF91E1"/>
    <w:rsid w:val="3FFDDB83"/>
    <w:rsid w:val="457532F9"/>
    <w:rsid w:val="47166351"/>
    <w:rsid w:val="48397A7C"/>
    <w:rsid w:val="4ABEF00F"/>
    <w:rsid w:val="4BBF9098"/>
    <w:rsid w:val="4BDDA9DC"/>
    <w:rsid w:val="4DFB3D9E"/>
    <w:rsid w:val="4FBBE2D2"/>
    <w:rsid w:val="513F7CDF"/>
    <w:rsid w:val="53DB73C6"/>
    <w:rsid w:val="5765D687"/>
    <w:rsid w:val="57A95FDF"/>
    <w:rsid w:val="57EF43E5"/>
    <w:rsid w:val="5925FC48"/>
    <w:rsid w:val="59BB2A5F"/>
    <w:rsid w:val="5BFE3A94"/>
    <w:rsid w:val="5D6770F6"/>
    <w:rsid w:val="5D7E481F"/>
    <w:rsid w:val="5D7FD837"/>
    <w:rsid w:val="5DD8E6C4"/>
    <w:rsid w:val="5E26230F"/>
    <w:rsid w:val="5E7F1137"/>
    <w:rsid w:val="5EDFF7F4"/>
    <w:rsid w:val="5EE7E2DF"/>
    <w:rsid w:val="5EFF3FDD"/>
    <w:rsid w:val="5F1F39A6"/>
    <w:rsid w:val="5F3F45DE"/>
    <w:rsid w:val="5F6F8406"/>
    <w:rsid w:val="5FEF8F79"/>
    <w:rsid w:val="5FFF98B9"/>
    <w:rsid w:val="61B51AFC"/>
    <w:rsid w:val="64C812BD"/>
    <w:rsid w:val="65FE62F9"/>
    <w:rsid w:val="66EF1054"/>
    <w:rsid w:val="674B7723"/>
    <w:rsid w:val="67FBA6BD"/>
    <w:rsid w:val="69FFB62F"/>
    <w:rsid w:val="6DBD25EA"/>
    <w:rsid w:val="6DCED596"/>
    <w:rsid w:val="6E95F121"/>
    <w:rsid w:val="6EDD0D1C"/>
    <w:rsid w:val="6F685956"/>
    <w:rsid w:val="6FCC1FDE"/>
    <w:rsid w:val="6FEF98CF"/>
    <w:rsid w:val="70BEC53E"/>
    <w:rsid w:val="73DDB7EE"/>
    <w:rsid w:val="74E73BA5"/>
    <w:rsid w:val="751F43A7"/>
    <w:rsid w:val="753A26E2"/>
    <w:rsid w:val="75F75BE3"/>
    <w:rsid w:val="75FF78A5"/>
    <w:rsid w:val="762E10F8"/>
    <w:rsid w:val="76797DAC"/>
    <w:rsid w:val="76DF93EF"/>
    <w:rsid w:val="77F7AC9E"/>
    <w:rsid w:val="77FB35E9"/>
    <w:rsid w:val="77FCC41D"/>
    <w:rsid w:val="78C57641"/>
    <w:rsid w:val="78F5D171"/>
    <w:rsid w:val="79CFAFBC"/>
    <w:rsid w:val="79DFB40D"/>
    <w:rsid w:val="7AC7A08F"/>
    <w:rsid w:val="7BBFAE02"/>
    <w:rsid w:val="7BF7D082"/>
    <w:rsid w:val="7C5F2835"/>
    <w:rsid w:val="7DDD87F0"/>
    <w:rsid w:val="7DDF4570"/>
    <w:rsid w:val="7DECF420"/>
    <w:rsid w:val="7DEDB32B"/>
    <w:rsid w:val="7DFDCCEA"/>
    <w:rsid w:val="7E041D70"/>
    <w:rsid w:val="7E7D09B2"/>
    <w:rsid w:val="7E7F896F"/>
    <w:rsid w:val="7EAF4763"/>
    <w:rsid w:val="7EF7198E"/>
    <w:rsid w:val="7F4079CE"/>
    <w:rsid w:val="7F6ECC9E"/>
    <w:rsid w:val="7FB86DE9"/>
    <w:rsid w:val="7FBBB6F7"/>
    <w:rsid w:val="7FCFC1B7"/>
    <w:rsid w:val="7FF2FA96"/>
    <w:rsid w:val="7FF5A420"/>
    <w:rsid w:val="7FFB4D22"/>
    <w:rsid w:val="7FFE146D"/>
    <w:rsid w:val="7FFF20BD"/>
    <w:rsid w:val="87F60E30"/>
    <w:rsid w:val="8FFF16C7"/>
    <w:rsid w:val="967FE629"/>
    <w:rsid w:val="973F2608"/>
    <w:rsid w:val="97FE1298"/>
    <w:rsid w:val="9BFE36D5"/>
    <w:rsid w:val="9E5E58A7"/>
    <w:rsid w:val="9FBF8FB4"/>
    <w:rsid w:val="AEF70ADC"/>
    <w:rsid w:val="AFDF8A75"/>
    <w:rsid w:val="B760F2B9"/>
    <w:rsid w:val="B7F90DDB"/>
    <w:rsid w:val="B83F7942"/>
    <w:rsid w:val="B9B0B20E"/>
    <w:rsid w:val="B9B96087"/>
    <w:rsid w:val="B9FDC480"/>
    <w:rsid w:val="BA78D27F"/>
    <w:rsid w:val="BE7E26EA"/>
    <w:rsid w:val="BEBAE402"/>
    <w:rsid w:val="BEDEBCA2"/>
    <w:rsid w:val="BF134728"/>
    <w:rsid w:val="BF258840"/>
    <w:rsid w:val="BFFEF4EF"/>
    <w:rsid w:val="BFFF2702"/>
    <w:rsid w:val="C77B994B"/>
    <w:rsid w:val="C7DC6135"/>
    <w:rsid w:val="CDBEC82B"/>
    <w:rsid w:val="CEF67463"/>
    <w:rsid w:val="CF7EB60F"/>
    <w:rsid w:val="D3F70C69"/>
    <w:rsid w:val="D774953D"/>
    <w:rsid w:val="D7F62FEA"/>
    <w:rsid w:val="D9DC906F"/>
    <w:rsid w:val="D9FD5D86"/>
    <w:rsid w:val="DACBD611"/>
    <w:rsid w:val="DAEB49E0"/>
    <w:rsid w:val="DCEF49ED"/>
    <w:rsid w:val="DD7B3A03"/>
    <w:rsid w:val="DD9FD72B"/>
    <w:rsid w:val="DDBF51C8"/>
    <w:rsid w:val="DDE206AC"/>
    <w:rsid w:val="DDFE5034"/>
    <w:rsid w:val="DE7F0145"/>
    <w:rsid w:val="DEBC4EC8"/>
    <w:rsid w:val="DEFF0162"/>
    <w:rsid w:val="DFD78853"/>
    <w:rsid w:val="E5EF3C43"/>
    <w:rsid w:val="E67FB46D"/>
    <w:rsid w:val="E77EA371"/>
    <w:rsid w:val="ECFFBEC5"/>
    <w:rsid w:val="EDBB1BAD"/>
    <w:rsid w:val="EE7BB323"/>
    <w:rsid w:val="EEFFC679"/>
    <w:rsid w:val="EF568377"/>
    <w:rsid w:val="EFDBFD35"/>
    <w:rsid w:val="EFEBA8F8"/>
    <w:rsid w:val="F33F014A"/>
    <w:rsid w:val="F3BF013A"/>
    <w:rsid w:val="F3E8211C"/>
    <w:rsid w:val="F3F8CDF9"/>
    <w:rsid w:val="F3FDC283"/>
    <w:rsid w:val="F67FB7EE"/>
    <w:rsid w:val="F69F3F6A"/>
    <w:rsid w:val="F73B99A8"/>
    <w:rsid w:val="F7CD873C"/>
    <w:rsid w:val="F7DEE568"/>
    <w:rsid w:val="F7E7BC59"/>
    <w:rsid w:val="F9CE9E72"/>
    <w:rsid w:val="FA7E63B5"/>
    <w:rsid w:val="FAF98774"/>
    <w:rsid w:val="FB77A157"/>
    <w:rsid w:val="FB7AA949"/>
    <w:rsid w:val="FBC70018"/>
    <w:rsid w:val="FBCD5E01"/>
    <w:rsid w:val="FBF7FBAE"/>
    <w:rsid w:val="FC575910"/>
    <w:rsid w:val="FD7F7F03"/>
    <w:rsid w:val="FDDFB8CF"/>
    <w:rsid w:val="FDFE2250"/>
    <w:rsid w:val="FE3F2406"/>
    <w:rsid w:val="FE6F6880"/>
    <w:rsid w:val="FE7D57E0"/>
    <w:rsid w:val="FF3ECDA5"/>
    <w:rsid w:val="FF7712D2"/>
    <w:rsid w:val="FFA7D04B"/>
    <w:rsid w:val="FFB583F7"/>
    <w:rsid w:val="FFCF8946"/>
    <w:rsid w:val="FFDFED1D"/>
    <w:rsid w:val="FFE17FA2"/>
    <w:rsid w:val="FFEAD1DE"/>
    <w:rsid w:val="FFEF910D"/>
    <w:rsid w:val="FFFB1237"/>
    <w:rsid w:val="FFFE182D"/>
    <w:rsid w:val="FFFF5045"/>
    <w:rsid w:val="FFFFA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after="290" w:line="372" w:lineRule="auto"/>
      <w:outlineLvl w:val="4"/>
    </w:pPr>
    <w:rPr>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qFormat/>
    <w:uiPriority w:val="0"/>
  </w:style>
  <w:style w:type="paragraph" w:styleId="8">
    <w:name w:val="Body Text"/>
    <w:basedOn w:val="1"/>
    <w:next w:val="9"/>
    <w:qFormat/>
    <w:uiPriority w:val="0"/>
  </w:style>
  <w:style w:type="paragraph" w:styleId="9">
    <w:name w:val="Body Text First Indent"/>
    <w:basedOn w:val="8"/>
    <w:unhideWhenUsed/>
    <w:qFormat/>
    <w:uiPriority w:val="99"/>
    <w:pPr>
      <w:ind w:firstLine="420" w:firstLineChars="100"/>
      <w:jc w:val="both"/>
    </w:pPr>
    <w:rPr>
      <w:rFonts w:ascii="宋体" w:eastAsia="宋体"/>
      <w:sz w:val="21"/>
      <w:szCs w:val="20"/>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4">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8795</Words>
  <Characters>9255</Characters>
  <Lines>5892</Lines>
  <Paragraphs>5207</Paragraphs>
  <TotalTime>47</TotalTime>
  <ScaleCrop>false</ScaleCrop>
  <LinksUpToDate>false</LinksUpToDate>
  <CharactersWithSpaces>9397</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2025-10-04T18:50:00Z</dcterms:created>
  <dc:creator>Administrator</dc:creator>
  <cp:lastModifiedBy>DLGYP</cp:lastModifiedBy>
  <cp:lastPrinted>2025-10-25T16:56:00Z</cp:lastPrinted>
  <dcterms:modified xsi:type="dcterms:W3CDTF">2026-04-15T08:50:10Z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847CE57B8BF57FD28F27DE693801A8C7_43</vt:lpwstr>
  </property>
  <property fmtid="{D5CDD505-2E9C-101B-9397-08002B2CF9AE}" pid="4" name="KSOTemplateDocerSaveRecord">
    <vt:lpwstr>eyJoZGlkIjoiMGNlNjllNjIyODg4YTAzMDgzMWM5NmEzMDg5ZDc3OGQiLCJ1c2VySWQiOiIxNDY1NTcxMjcyIn0=</vt:lpwstr>
  </property>
</Properties>
</file>